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YSpec="bottom"/>
        <w:tblW w:w="3000" w:type="pct"/>
        <w:tblLook w:val="04A0"/>
      </w:tblPr>
      <w:tblGrid>
        <w:gridCol w:w="5640"/>
      </w:tblGrid>
      <w:tr w:rsidR="003F6F40" w:rsidTr="003F6F40">
        <w:tc>
          <w:tcPr>
            <w:tcW w:w="5640" w:type="dxa"/>
          </w:tcPr>
          <w:p w:rsidR="00AD5D9B" w:rsidRPr="00AD5D9B" w:rsidRDefault="00AD5D9B" w:rsidP="00AD5D9B">
            <w:pPr>
              <w:pStyle w:val="NoSpacing"/>
              <w:rPr>
                <w:rFonts w:asciiTheme="majorHAnsi" w:eastAsiaTheme="majorEastAsia" w:hAnsiTheme="majorHAnsi" w:cstheme="majorBidi"/>
                <w:b/>
                <w:bCs/>
                <w:color w:val="365F91" w:themeColor="accent1" w:themeShade="BF"/>
                <w:sz w:val="32"/>
                <w:szCs w:val="32"/>
              </w:rPr>
            </w:pPr>
            <w:r w:rsidRPr="00AD5D9B">
              <w:rPr>
                <w:rFonts w:asciiTheme="majorHAnsi" w:eastAsiaTheme="majorEastAsia" w:hAnsiTheme="majorHAnsi" w:cstheme="majorBidi"/>
                <w:b/>
                <w:bCs/>
                <w:color w:val="365F91" w:themeColor="accent1" w:themeShade="BF"/>
                <w:sz w:val="32"/>
                <w:szCs w:val="32"/>
              </w:rPr>
              <w:t xml:space="preserve">BEST PRACTICES &amp; PRINCIPLES OF INTEGRATED REPORTING </w:t>
            </w:r>
          </w:p>
          <w:p w:rsidR="00EA4BF4" w:rsidRPr="003F6F40" w:rsidRDefault="00AD5D9B" w:rsidP="00AD5D9B">
            <w:pPr>
              <w:pStyle w:val="NoSpacing"/>
              <w:rPr>
                <w:rFonts w:asciiTheme="majorHAnsi" w:eastAsiaTheme="majorEastAsia" w:hAnsiTheme="majorHAnsi" w:cstheme="majorBidi"/>
                <w:b/>
                <w:bCs/>
                <w:color w:val="365F91" w:themeColor="accent1" w:themeShade="BF"/>
                <w:sz w:val="48"/>
                <w:szCs w:val="48"/>
              </w:rPr>
            </w:pPr>
            <w:r w:rsidRPr="00AD5D9B">
              <w:rPr>
                <w:rFonts w:asciiTheme="majorHAnsi" w:eastAsiaTheme="majorEastAsia" w:hAnsiTheme="majorHAnsi" w:cstheme="majorBidi"/>
                <w:b/>
                <w:bCs/>
                <w:color w:val="365F91" w:themeColor="accent1" w:themeShade="BF"/>
                <w:sz w:val="32"/>
                <w:szCs w:val="32"/>
              </w:rPr>
              <w:t>&amp; ITS DISCLOSURE FRAMEWORK</w:t>
            </w:r>
          </w:p>
        </w:tc>
      </w:tr>
      <w:tr w:rsidR="00A5263F" w:rsidTr="003F6F40">
        <w:tc>
          <w:tcPr>
            <w:tcW w:w="5640" w:type="dxa"/>
          </w:tcPr>
          <w:p w:rsidR="00A5263F" w:rsidRPr="003F6F40" w:rsidRDefault="00A5263F">
            <w:pPr>
              <w:pStyle w:val="NoSpacing"/>
              <w:rPr>
                <w:rFonts w:asciiTheme="minorHAnsi" w:eastAsiaTheme="minorEastAsia" w:hAnsiTheme="minorHAnsi" w:cstheme="minorBidi"/>
                <w:sz w:val="28"/>
                <w:szCs w:val="28"/>
              </w:rPr>
            </w:pPr>
          </w:p>
        </w:tc>
      </w:tr>
      <w:tr w:rsidR="003F6F40" w:rsidTr="003F6F40">
        <w:tc>
          <w:tcPr>
            <w:tcW w:w="5640" w:type="dxa"/>
          </w:tcPr>
          <w:p w:rsidR="003F6F40" w:rsidRPr="003F6F40" w:rsidRDefault="00AD5D9B" w:rsidP="00EA4BF4">
            <w:pPr>
              <w:pStyle w:val="NoSpacing"/>
              <w:rPr>
                <w:rFonts w:asciiTheme="minorHAnsi" w:eastAsiaTheme="minorEastAsia" w:hAnsiTheme="minorHAnsi" w:cstheme="minorBidi"/>
                <w:color w:val="484329" w:themeColor="background2" w:themeShade="3F"/>
                <w:sz w:val="28"/>
                <w:szCs w:val="28"/>
              </w:rPr>
            </w:pPr>
            <w:r>
              <w:rPr>
                <w:rFonts w:asciiTheme="minorHAnsi" w:eastAsiaTheme="minorEastAsia" w:hAnsiTheme="minorHAnsi" w:cstheme="minorBidi"/>
                <w:sz w:val="28"/>
                <w:szCs w:val="28"/>
              </w:rPr>
              <w:t>22</w:t>
            </w:r>
            <w:r w:rsidRPr="00AD5D9B">
              <w:rPr>
                <w:rFonts w:asciiTheme="minorHAnsi" w:eastAsiaTheme="minorEastAsia" w:hAnsiTheme="minorHAnsi" w:cstheme="minorBidi"/>
                <w:sz w:val="28"/>
                <w:szCs w:val="28"/>
                <w:vertAlign w:val="superscript"/>
              </w:rPr>
              <w:t>nd</w:t>
            </w:r>
            <w:r>
              <w:rPr>
                <w:rFonts w:asciiTheme="minorHAnsi" w:eastAsiaTheme="minorEastAsia" w:hAnsiTheme="minorHAnsi" w:cstheme="minorBidi"/>
                <w:sz w:val="28"/>
                <w:szCs w:val="28"/>
              </w:rPr>
              <w:t xml:space="preserve"> November 2016</w:t>
            </w:r>
          </w:p>
        </w:tc>
      </w:tr>
      <w:tr w:rsidR="003F6F40" w:rsidTr="003F6F40">
        <w:tc>
          <w:tcPr>
            <w:tcW w:w="5640" w:type="dxa"/>
          </w:tcPr>
          <w:p w:rsidR="003F6F40" w:rsidRPr="003F6F40" w:rsidRDefault="003F6F40">
            <w:pPr>
              <w:pStyle w:val="NoSpacing"/>
              <w:rPr>
                <w:rFonts w:asciiTheme="minorHAnsi" w:eastAsiaTheme="minorEastAsia" w:hAnsiTheme="minorHAnsi" w:cstheme="minorBidi"/>
                <w:color w:val="484329" w:themeColor="background2" w:themeShade="3F"/>
                <w:sz w:val="28"/>
                <w:szCs w:val="28"/>
              </w:rPr>
            </w:pPr>
          </w:p>
        </w:tc>
      </w:tr>
      <w:tr w:rsidR="00D22FB3" w:rsidTr="003F6F40">
        <w:tc>
          <w:tcPr>
            <w:tcW w:w="5640" w:type="dxa"/>
          </w:tcPr>
          <w:p w:rsidR="00AD5D9B" w:rsidRDefault="00AD5D9B" w:rsidP="00AD5D9B">
            <w:pPr>
              <w:jc w:val="both"/>
            </w:pPr>
            <w:r>
              <w:t>As the Director’s role is now greatly centred at versight responsibility to provide assurance comfort to</w:t>
            </w:r>
            <w:r>
              <w:t xml:space="preserve"> </w:t>
            </w:r>
            <w:r>
              <w:t>shareholders at large, clear assessment on financial and non-financial reporting, regulatory and governance compliance and strategic decision making on</w:t>
            </w:r>
            <w:r>
              <w:t xml:space="preserve"> </w:t>
            </w:r>
            <w:r>
              <w:t>operational risks are gaining continuous importance to enable sustainable growth.</w:t>
            </w:r>
          </w:p>
          <w:p w:rsidR="00AD5D9B" w:rsidRDefault="00AD5D9B" w:rsidP="00AD5D9B">
            <w:pPr>
              <w:jc w:val="both"/>
            </w:pPr>
          </w:p>
          <w:p w:rsidR="00D22FB3" w:rsidRPr="004261AD" w:rsidRDefault="00AD5D9B" w:rsidP="00AD5D9B">
            <w:pPr>
              <w:jc w:val="both"/>
            </w:pPr>
            <w:r>
              <w:t>To achieve top line growth and better overall profitability, Board must stay focus on continuously re-aligning corporate direction and operating objectives for measurable results by focusing on customers’ needs and environmental challenges. As such, Integrated Reporting is the ideal platform that goes above and beyond traditional performance strategy, by adopting the right risk measurement matrix to highlight how to win and sustain leadership in the marketplace, in the short-term, medium-term and long-term.</w:t>
            </w:r>
          </w:p>
        </w:tc>
      </w:tr>
      <w:tr w:rsidR="003F6F40" w:rsidTr="003F6F40">
        <w:tc>
          <w:tcPr>
            <w:tcW w:w="5640" w:type="dxa"/>
          </w:tcPr>
          <w:p w:rsidR="003F6F40" w:rsidRPr="003F6F40" w:rsidRDefault="003F6F40">
            <w:pPr>
              <w:pStyle w:val="NoSpacing"/>
              <w:rPr>
                <w:rFonts w:asciiTheme="minorHAnsi" w:eastAsiaTheme="minorEastAsia" w:hAnsiTheme="minorHAnsi" w:cstheme="minorBidi"/>
              </w:rPr>
            </w:pPr>
          </w:p>
        </w:tc>
      </w:tr>
      <w:tr w:rsidR="003F6F40" w:rsidTr="003F6F40">
        <w:tc>
          <w:tcPr>
            <w:tcW w:w="5640" w:type="dxa"/>
          </w:tcPr>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C47699" w:rsidRDefault="00C47699">
            <w:pPr>
              <w:pStyle w:val="NoSpacing"/>
              <w:rPr>
                <w:rFonts w:asciiTheme="minorHAnsi" w:eastAsiaTheme="minorEastAsia" w:hAnsiTheme="minorHAnsi" w:cstheme="minorBidi"/>
                <w:b/>
                <w:bCs/>
              </w:rPr>
            </w:pPr>
          </w:p>
          <w:p w:rsidR="00C47699" w:rsidRPr="003F6F40" w:rsidRDefault="00C47699">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Pr="003F6F40" w:rsidRDefault="004C3B41">
            <w:pPr>
              <w:pStyle w:val="NoSpacing"/>
              <w:rPr>
                <w:rFonts w:asciiTheme="minorHAnsi" w:eastAsiaTheme="minorEastAsia" w:hAnsiTheme="minorHAnsi" w:cstheme="minorBidi"/>
                <w:b/>
                <w:bCs/>
              </w:rPr>
            </w:pPr>
          </w:p>
        </w:tc>
      </w:tr>
    </w:tbl>
    <w:p w:rsidR="003F6F40" w:rsidRDefault="00BC6BD6">
      <w:r w:rsidRPr="00BC6BD6">
        <w:rPr>
          <w:noProof/>
          <w:lang w:eastAsia="zh-TW"/>
        </w:rPr>
        <w:pict>
          <v:group id="_x0000_s1027" style="position:absolute;margin-left:3593.35pt;margin-top:0;width:264.55pt;height:690.65pt;z-index:251649024;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8" type="#_x0000_t32" style="position:absolute;left:6519;top:1258;width:4303;height:10040;flip:x" o:connectortype="straight" strokecolor="#a7bfde"/>
            <v:group id="_x0000_s1029" style="position:absolute;left:5531;top:9226;width:5291;height:5845" coordorigin="5531,9226" coordsize="5291,5845">
              <v:shape id="_x0000_s1030"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v:shape>
              <v:oval id="_x0000_s1031" style="position:absolute;left:6117;top:10212;width:4526;height:4258;rotation:41366637fd;flip:y" fillcolor="#d3dfee" stroked="f" strokecolor="#a7bfde"/>
              <v:oval id="_x0000_s1032" style="position:absolute;left:6217;top:10481;width:3424;height:3221;rotation:41366637fd;flip:y" fillcolor="#7ba0cd" stroked="f" strokecolor="#a7bfde"/>
            </v:group>
            <w10:wrap anchorx="page" anchory="page"/>
          </v:group>
        </w:pict>
      </w:r>
      <w:r w:rsidRPr="00BC6BD6">
        <w:rPr>
          <w:noProof/>
          <w:lang w:eastAsia="zh-TW"/>
        </w:rPr>
        <w:pict>
          <v:group id="_x0000_s1038" style="position:absolute;margin-left:0;margin-top:0;width:464.8pt;height:380.95pt;z-index:251651072;mso-position-horizontal:left;mso-position-horizontal-relative:page;mso-position-vertical:top;mso-position-vertical-relative:page" coordorigin="15,15" coordsize="9296,7619" o:allowincell="f">
            <v:shape id="_x0000_s1039" type="#_x0000_t32" style="position:absolute;left:15;top:15;width:7512;height:7386" o:connectortype="straight" strokecolor="#a7bfde"/>
            <v:group id="_x0000_s1040" style="position:absolute;left:7095;top:5418;width:2216;height:2216" coordorigin="7907,4350" coordsize="2216,2216">
              <v:oval id="_x0000_s1041" style="position:absolute;left:7907;top:4350;width:2216;height:2216" fillcolor="#a7bfde" stroked="f"/>
              <v:oval id="_x0000_s1042" style="position:absolute;left:7961;top:4684;width:1813;height:1813" fillcolor="#d3dfee" stroked="f"/>
              <v:oval id="_x0000_s1043" style="position:absolute;left:8006;top:5027;width:1375;height:1375" fillcolor="#7ba0cd" stroked="f"/>
            </v:group>
            <w10:wrap anchorx="page" anchory="page"/>
          </v:group>
        </w:pict>
      </w:r>
      <w:r w:rsidRPr="00BC6BD6">
        <w:rPr>
          <w:noProof/>
          <w:lang w:eastAsia="zh-TW"/>
        </w:rPr>
        <w:pict>
          <v:group id="_x0000_s1033" style="position:absolute;margin-left:5110.7pt;margin-top:0;width:332.7pt;height:227.25pt;z-index:251650048;mso-position-horizontal:right;mso-position-horizontal-relative:margin;mso-position-vertical:top;mso-position-vertical-relative:page" coordorigin="4136,15" coordsize="6654,4545" o:allowincell="f">
            <v:shape id="_x0000_s1034" type="#_x0000_t32" style="position:absolute;left:4136;top:15;width:3058;height:3855" o:connectortype="straight" strokecolor="#a7bfde"/>
            <v:oval id="_x0000_s1035" style="position:absolute;left:6674;top:444;width:4116;height:4116" fillcolor="#a7bfde" stroked="f"/>
            <v:oval id="_x0000_s1036" style="position:absolute;left:6773;top:1058;width:3367;height:3367" fillcolor="#d3dfee" stroked="f"/>
            <v:oval id="_x0000_s1037" style="position:absolute;left:6856;top:1709;width:2553;height:2553" fillcolor="#7ba0cd" stroked="f"/>
            <w10:wrap anchorx="margin" anchory="page"/>
          </v:group>
        </w:pict>
      </w:r>
    </w:p>
    <w:p w:rsidR="00B26841" w:rsidRPr="00B26841" w:rsidRDefault="00BC6BD6" w:rsidP="003F6F40">
      <w:pPr>
        <w:rPr>
          <w:rFonts w:asciiTheme="minorHAnsi" w:hAnsiTheme="minorHAnsi"/>
        </w:rPr>
        <w:sectPr w:rsidR="00B26841" w:rsidRPr="00B26841" w:rsidSect="008C6E67">
          <w:headerReference w:type="even" r:id="rId9"/>
          <w:headerReference w:type="default" r:id="rId10"/>
          <w:footerReference w:type="default" r:id="rId11"/>
          <w:headerReference w:type="first" r:id="rId12"/>
          <w:footerReference w:type="first" r:id="rId13"/>
          <w:pgSz w:w="11906" w:h="16838" w:code="9"/>
          <w:pgMar w:top="806" w:right="922" w:bottom="900" w:left="1800" w:header="0" w:footer="0" w:gutter="0"/>
          <w:cols w:sep="1" w:space="720"/>
          <w:titlePg/>
          <w:docGrid w:linePitch="299"/>
        </w:sectPr>
      </w:pPr>
      <w:r w:rsidRPr="00BC6BD6">
        <w:rPr>
          <w:noProof/>
          <w:lang w:eastAsia="zh-TW"/>
        </w:rPr>
        <w:pict>
          <v:shapetype id="_x0000_t202" coordsize="21600,21600" o:spt="202" path="m,l,21600r21600,l21600,xe">
            <v:stroke joinstyle="miter"/>
            <v:path gradientshapeok="t" o:connecttype="rect"/>
          </v:shapetype>
          <v:shape id="_x0000_s1044" type="#_x0000_t202" style="position:absolute;margin-left:-16.45pt;margin-top:95.55pt;width:110pt;height:28.3pt;z-index:-251664384;mso-height-percent:200;mso-height-percent:200;mso-width-relative:margin;mso-height-relative:margin" wrapcoords="-147 0 -147 21032 21600 21032 21600 0 -147 0" stroked="f">
            <v:textbox style="mso-fit-shape-to-text:t">
              <w:txbxContent>
                <w:p w:rsidR="004C3B41" w:rsidRPr="004B250B" w:rsidRDefault="004C3B41">
                  <w:pPr>
                    <w:rPr>
                      <w:rFonts w:ascii="Cambria" w:hAnsi="Cambria"/>
                      <w:b/>
                      <w:color w:val="17365D"/>
                      <w:sz w:val="36"/>
                      <w:szCs w:val="36"/>
                    </w:rPr>
                  </w:pPr>
                  <w:r w:rsidRPr="004B250B">
                    <w:rPr>
                      <w:rFonts w:ascii="Cambria" w:hAnsi="Cambria"/>
                      <w:b/>
                      <w:color w:val="17365D"/>
                      <w:sz w:val="36"/>
                      <w:szCs w:val="36"/>
                    </w:rPr>
                    <w:t>Bursatra</w:t>
                  </w:r>
                </w:p>
              </w:txbxContent>
            </v:textbox>
            <w10:wrap type="through"/>
          </v:shape>
        </w:pict>
      </w:r>
      <w:r w:rsidR="00146055">
        <w:rPr>
          <w:noProof/>
          <w:lang w:val="en-US"/>
        </w:rPr>
        <w:drawing>
          <wp:anchor distT="0" distB="0" distL="114300" distR="114300" simplePos="0" relativeHeight="251659264" behindDoc="1" locked="0" layoutInCell="1" allowOverlap="1">
            <wp:simplePos x="0" y="0"/>
            <wp:positionH relativeFrom="column">
              <wp:posOffset>-258445</wp:posOffset>
            </wp:positionH>
            <wp:positionV relativeFrom="paragraph">
              <wp:posOffset>175260</wp:posOffset>
            </wp:positionV>
            <wp:extent cx="1428750" cy="1143000"/>
            <wp:effectExtent l="19050" t="0" r="0" b="0"/>
            <wp:wrapNone/>
            <wp:docPr id="21" name="Picture 21"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3d"/>
                    <pic:cNvPicPr>
                      <a:picLocks noChangeAspect="1" noChangeArrowheads="1"/>
                    </pic:cNvPicPr>
                  </pic:nvPicPr>
                  <pic:blipFill>
                    <a:blip r:embed="rId14" cstate="print"/>
                    <a:srcRect/>
                    <a:stretch>
                      <a:fillRect/>
                    </a:stretch>
                  </pic:blipFill>
                  <pic:spPr bwMode="auto">
                    <a:xfrm>
                      <a:off x="0" y="0"/>
                      <a:ext cx="1428750" cy="1143000"/>
                    </a:xfrm>
                    <a:prstGeom prst="rect">
                      <a:avLst/>
                    </a:prstGeom>
                    <a:noFill/>
                  </pic:spPr>
                </pic:pic>
              </a:graphicData>
            </a:graphic>
          </wp:anchor>
        </w:drawing>
      </w:r>
      <w:r w:rsidR="003F6F40">
        <w:br w:type="page"/>
      </w:r>
    </w:p>
    <w:p w:rsidR="00B9676C" w:rsidRDefault="00BC6BD6" w:rsidP="007A3D96">
      <w:pPr>
        <w:ind w:left="-426"/>
        <w:rPr>
          <w:rFonts w:asciiTheme="minorHAnsi" w:hAnsiTheme="minorHAnsi"/>
        </w:rPr>
      </w:pPr>
      <w:r>
        <w:rPr>
          <w:rFonts w:asciiTheme="minorHAnsi" w:hAnsiTheme="minorHAnsi"/>
          <w:noProof/>
          <w:lang w:val="en-US"/>
        </w:rPr>
        <w:lastRenderedPageBreak/>
        <w:pict>
          <v:roundrect id="_x0000_s1061" style="position:absolute;left:0;text-align:left;margin-left:-29.6pt;margin-top:5.8pt;width:150.55pt;height:23.4pt;z-index:-251649024" arcsize="10923f">
            <v:shadow on="t" offset="3pt" offset2="2pt"/>
            <v:textbox>
              <w:txbxContent>
                <w:p w:rsidR="004C3B41" w:rsidRPr="00B9676C" w:rsidRDefault="004C3B41">
                  <w:pPr>
                    <w:rPr>
                      <w:rFonts w:asciiTheme="minorHAnsi" w:hAnsiTheme="minorHAnsi"/>
                    </w:rPr>
                  </w:pPr>
                  <w:r>
                    <w:rPr>
                      <w:rFonts w:asciiTheme="minorHAnsi" w:hAnsiTheme="minorHAnsi"/>
                    </w:rPr>
                    <w:t>COURSE INTRODUCTION</w:t>
                  </w:r>
                </w:p>
              </w:txbxContent>
            </v:textbox>
          </v:roundrect>
        </w:pict>
      </w:r>
    </w:p>
    <w:p w:rsidR="00B9676C" w:rsidRDefault="00B9676C" w:rsidP="007A3D96">
      <w:pPr>
        <w:ind w:left="-426"/>
        <w:rPr>
          <w:rFonts w:asciiTheme="minorHAnsi" w:hAnsiTheme="minorHAnsi"/>
        </w:rPr>
      </w:pPr>
    </w:p>
    <w:p w:rsidR="003F6F40" w:rsidRPr="00B26841" w:rsidRDefault="003F6F40" w:rsidP="00B9676C">
      <w:pPr>
        <w:ind w:left="-450"/>
        <w:rPr>
          <w:rFonts w:asciiTheme="minorHAnsi" w:hAnsiTheme="minorHAnsi"/>
        </w:rPr>
      </w:pPr>
    </w:p>
    <w:p w:rsidR="00512442" w:rsidRPr="00512442" w:rsidRDefault="00512442" w:rsidP="00512442">
      <w:pPr>
        <w:ind w:left="-448"/>
        <w:jc w:val="both"/>
        <w:rPr>
          <w:rFonts w:asciiTheme="minorHAnsi" w:hAnsiTheme="minorHAnsi"/>
        </w:rPr>
      </w:pPr>
      <w:r w:rsidRPr="00512442">
        <w:rPr>
          <w:rFonts w:asciiTheme="minorHAnsi" w:hAnsiTheme="minorHAnsi"/>
        </w:rPr>
        <w:t>As the Director’s role is now greatly centred at oversight responsibility to provide assurance comfort to shareholders at large, clear assessment on financial and non-financial reporting, regulatory and governance compliance and strategic decision making on operational risks are gaining continuous importance to enable sustainable growth.</w:t>
      </w:r>
    </w:p>
    <w:p w:rsidR="00512442" w:rsidRPr="00512442" w:rsidRDefault="00512442" w:rsidP="00512442">
      <w:pPr>
        <w:ind w:left="-448"/>
        <w:jc w:val="both"/>
        <w:rPr>
          <w:rFonts w:asciiTheme="minorHAnsi" w:hAnsiTheme="minorHAnsi"/>
        </w:rPr>
      </w:pPr>
    </w:p>
    <w:p w:rsidR="00D22FB3" w:rsidRDefault="00512442" w:rsidP="00512442">
      <w:pPr>
        <w:ind w:left="-448"/>
        <w:jc w:val="both"/>
        <w:rPr>
          <w:rFonts w:asciiTheme="minorHAnsi" w:hAnsiTheme="minorHAnsi"/>
        </w:rPr>
      </w:pPr>
      <w:r w:rsidRPr="00512442">
        <w:rPr>
          <w:rFonts w:asciiTheme="minorHAnsi" w:hAnsiTheme="minorHAnsi"/>
        </w:rPr>
        <w:t>To achieve top line growth and better overall profitability, Board must stay focus on continuously re-aligning corporate direction and operating objectives for measurable results by focusing on customers’ needs and environmental challenges. As such, Integrated Reporting is the ideal platform that goes above and beyond traditional performance strategy, by adopting the right risk measurement matrix to highlight how to win and sustain leadership in the marketplace, in the short-term, medium-term and long-term.</w:t>
      </w:r>
    </w:p>
    <w:p w:rsidR="00512442" w:rsidRDefault="00512442" w:rsidP="0052403E">
      <w:pPr>
        <w:ind w:left="-448"/>
        <w:jc w:val="both"/>
        <w:rPr>
          <w:rFonts w:asciiTheme="minorHAnsi" w:hAnsiTheme="minorHAnsi"/>
        </w:rPr>
      </w:pPr>
    </w:p>
    <w:p w:rsidR="003F6F40" w:rsidRPr="00B26841" w:rsidRDefault="00BC6BD6" w:rsidP="00B9676C">
      <w:pPr>
        <w:ind w:left="-450"/>
        <w:rPr>
          <w:rFonts w:asciiTheme="minorHAnsi" w:hAnsiTheme="minorHAnsi"/>
        </w:rPr>
      </w:pPr>
      <w:r>
        <w:rPr>
          <w:rFonts w:asciiTheme="minorHAnsi" w:hAnsiTheme="minorHAnsi"/>
          <w:noProof/>
          <w:lang w:val="en-US"/>
        </w:rPr>
        <w:pict>
          <v:roundrect id="_x0000_s1047" style="position:absolute;left:0;text-align:left;margin-left:-29.6pt;margin-top:12.75pt;width:150.55pt;height:23.4pt;z-index:-251655168" arcsize="10923f">
            <v:shadow on="t" offset="3pt" offset2="2pt"/>
            <v:textbox>
              <w:txbxContent>
                <w:p w:rsidR="00512442" w:rsidRPr="00512442" w:rsidRDefault="00512442">
                  <w:pPr>
                    <w:rPr>
                      <w:rFonts w:asciiTheme="minorHAnsi" w:hAnsiTheme="minorHAnsi"/>
                      <w:lang w:val="en-US"/>
                    </w:rPr>
                  </w:pPr>
                  <w:r>
                    <w:rPr>
                      <w:rFonts w:asciiTheme="minorHAnsi" w:hAnsiTheme="minorHAnsi"/>
                      <w:lang w:val="en-US"/>
                    </w:rPr>
                    <w:t>COURSE OBJECTIVE</w:t>
                  </w:r>
                </w:p>
              </w:txbxContent>
            </v:textbox>
          </v:roundrect>
        </w:pict>
      </w:r>
    </w:p>
    <w:p w:rsidR="003F6F40" w:rsidRPr="00B26841" w:rsidRDefault="00512442" w:rsidP="007A3D96">
      <w:pPr>
        <w:ind w:left="-426"/>
        <w:rPr>
          <w:rFonts w:asciiTheme="minorHAnsi" w:hAnsiTheme="minorHAnsi"/>
        </w:rPr>
      </w:pPr>
      <w:r>
        <w:rPr>
          <w:rFonts w:asciiTheme="minorHAnsi" w:hAnsiTheme="minorHAnsi"/>
        </w:rPr>
        <w:t xml:space="preserve"> </w:t>
      </w:r>
    </w:p>
    <w:p w:rsidR="003F6F40" w:rsidRDefault="003F6F40" w:rsidP="00CB6394">
      <w:pPr>
        <w:ind w:left="-450"/>
        <w:rPr>
          <w:rFonts w:asciiTheme="minorHAnsi" w:hAnsiTheme="minorHAnsi"/>
        </w:rPr>
      </w:pPr>
    </w:p>
    <w:p w:rsidR="00512442" w:rsidRPr="00B26841" w:rsidRDefault="00512442" w:rsidP="00CB6394">
      <w:pPr>
        <w:ind w:left="-450"/>
        <w:rPr>
          <w:rFonts w:asciiTheme="minorHAnsi" w:hAnsiTheme="minorHAnsi"/>
        </w:rPr>
      </w:pPr>
    </w:p>
    <w:p w:rsidR="00D22FB3" w:rsidRDefault="00512442" w:rsidP="00AE6D93">
      <w:pPr>
        <w:ind w:left="-450"/>
        <w:rPr>
          <w:rFonts w:asciiTheme="minorHAnsi" w:hAnsiTheme="minorHAnsi"/>
        </w:rPr>
      </w:pPr>
      <w:r w:rsidRPr="00512442">
        <w:rPr>
          <w:rFonts w:asciiTheme="minorHAnsi" w:hAnsiTheme="minorHAnsi"/>
        </w:rPr>
        <w:t>This comprehensive and insightful course update participants in order to:-</w:t>
      </w:r>
    </w:p>
    <w:p w:rsidR="00512442" w:rsidRPr="00512442" w:rsidRDefault="00512442" w:rsidP="00512442">
      <w:pPr>
        <w:pStyle w:val="ListParagraph"/>
        <w:numPr>
          <w:ilvl w:val="0"/>
          <w:numId w:val="19"/>
        </w:numPr>
        <w:spacing w:after="100" w:afterAutospacing="1" w:line="240" w:lineRule="auto"/>
        <w:ind w:left="-86"/>
        <w:rPr>
          <w:rFonts w:asciiTheme="minorHAnsi" w:hAnsiTheme="minorHAnsi"/>
        </w:rPr>
      </w:pPr>
      <w:r w:rsidRPr="00512442">
        <w:rPr>
          <w:rFonts w:asciiTheme="minorHAnsi" w:hAnsiTheme="minorHAnsi"/>
        </w:rPr>
        <w:t>gain deeper understanding on the benefits of Integrated Reporting</w:t>
      </w:r>
    </w:p>
    <w:p w:rsidR="00512442" w:rsidRPr="00512442" w:rsidRDefault="00512442" w:rsidP="00512442">
      <w:pPr>
        <w:pStyle w:val="ListParagraph"/>
        <w:numPr>
          <w:ilvl w:val="0"/>
          <w:numId w:val="19"/>
        </w:numPr>
        <w:spacing w:after="100" w:afterAutospacing="1" w:line="240" w:lineRule="auto"/>
        <w:ind w:left="-86"/>
        <w:rPr>
          <w:rFonts w:asciiTheme="minorHAnsi" w:hAnsiTheme="minorHAnsi"/>
        </w:rPr>
      </w:pPr>
      <w:r w:rsidRPr="00512442">
        <w:rPr>
          <w:rFonts w:asciiTheme="minorHAnsi" w:hAnsiTheme="minorHAnsi"/>
        </w:rPr>
        <w:t>learn the basic fundamentals in Integrated Reporting</w:t>
      </w:r>
    </w:p>
    <w:p w:rsidR="00512442" w:rsidRPr="00512442" w:rsidRDefault="00512442" w:rsidP="00512442">
      <w:pPr>
        <w:pStyle w:val="ListParagraph"/>
        <w:numPr>
          <w:ilvl w:val="0"/>
          <w:numId w:val="19"/>
        </w:numPr>
        <w:spacing w:after="100" w:afterAutospacing="1" w:line="240" w:lineRule="auto"/>
        <w:ind w:left="-86"/>
        <w:rPr>
          <w:rFonts w:asciiTheme="minorHAnsi" w:hAnsiTheme="minorHAnsi"/>
        </w:rPr>
      </w:pPr>
      <w:r w:rsidRPr="00512442">
        <w:rPr>
          <w:rFonts w:asciiTheme="minorHAnsi" w:hAnsiTheme="minorHAnsi"/>
        </w:rPr>
        <w:t>appreciate the key components of Integrated Reporting, and</w:t>
      </w:r>
    </w:p>
    <w:p w:rsidR="00512442" w:rsidRPr="00512442" w:rsidRDefault="00512442" w:rsidP="00512442">
      <w:pPr>
        <w:pStyle w:val="ListParagraph"/>
        <w:numPr>
          <w:ilvl w:val="0"/>
          <w:numId w:val="19"/>
        </w:numPr>
        <w:spacing w:after="100" w:afterAutospacing="1" w:line="240" w:lineRule="auto"/>
        <w:ind w:left="-86"/>
        <w:rPr>
          <w:rFonts w:asciiTheme="minorHAnsi" w:hAnsiTheme="minorHAnsi"/>
        </w:rPr>
      </w:pPr>
      <w:r w:rsidRPr="00512442">
        <w:rPr>
          <w:rFonts w:asciiTheme="minorHAnsi" w:hAnsiTheme="minorHAnsi"/>
        </w:rPr>
        <w:t>outline the major desired outcome to deliver on operating goals</w:t>
      </w:r>
    </w:p>
    <w:p w:rsidR="00D22FB3" w:rsidRDefault="00BC6BD6" w:rsidP="00AE6D93">
      <w:pPr>
        <w:ind w:left="-450"/>
        <w:rPr>
          <w:rFonts w:asciiTheme="minorHAnsi" w:hAnsiTheme="minorHAnsi"/>
        </w:rPr>
      </w:pPr>
      <w:r>
        <w:rPr>
          <w:rFonts w:asciiTheme="minorHAnsi" w:hAnsiTheme="minorHAnsi"/>
          <w:noProof/>
          <w:lang w:val="en-US"/>
        </w:rPr>
        <w:pict>
          <v:roundrect id="_x0000_s1049" style="position:absolute;left:0;text-align:left;margin-left:-29.6pt;margin-top:7.55pt;width:150.55pt;height:23.4pt;z-index:-251653120" arcsize="10923f">
            <v:shadow on="t" offset="3pt" offset2="2pt"/>
            <v:textbox>
              <w:txbxContent>
                <w:p w:rsidR="004C3B41" w:rsidRPr="00374C5A" w:rsidRDefault="004C3B41">
                  <w:pPr>
                    <w:rPr>
                      <w:rFonts w:asciiTheme="minorHAnsi" w:hAnsiTheme="minorHAnsi"/>
                    </w:rPr>
                  </w:pPr>
                  <w:r>
                    <w:rPr>
                      <w:rFonts w:asciiTheme="minorHAnsi" w:hAnsiTheme="minorHAnsi"/>
                    </w:rPr>
                    <w:t>COURSE COVERAGE</w:t>
                  </w:r>
                </w:p>
              </w:txbxContent>
            </v:textbox>
          </v:roundrect>
        </w:pict>
      </w:r>
    </w:p>
    <w:p w:rsidR="00D22FB3" w:rsidRDefault="00D22FB3" w:rsidP="00AE6D93">
      <w:pPr>
        <w:ind w:left="-450"/>
        <w:rPr>
          <w:rFonts w:asciiTheme="minorHAnsi" w:hAnsiTheme="minorHAnsi"/>
        </w:rPr>
      </w:pPr>
    </w:p>
    <w:p w:rsidR="00CB6394" w:rsidRDefault="00CB6394" w:rsidP="00AE6D93">
      <w:pPr>
        <w:ind w:left="-450"/>
        <w:rPr>
          <w:rFonts w:asciiTheme="minorHAnsi" w:hAnsiTheme="minorHAnsi"/>
        </w:rPr>
      </w:pPr>
    </w:p>
    <w:p w:rsidR="00512442" w:rsidRPr="00512442" w:rsidRDefault="00512442" w:rsidP="00512442">
      <w:pPr>
        <w:pStyle w:val="ListParagraph"/>
        <w:numPr>
          <w:ilvl w:val="0"/>
          <w:numId w:val="20"/>
        </w:numPr>
        <w:spacing w:after="100" w:afterAutospacing="1" w:line="240" w:lineRule="auto"/>
        <w:ind w:left="-86"/>
        <w:rPr>
          <w:rFonts w:asciiTheme="minorHAnsi" w:hAnsiTheme="minorHAnsi"/>
        </w:rPr>
      </w:pPr>
      <w:r w:rsidRPr="00512442">
        <w:rPr>
          <w:rFonts w:asciiTheme="minorHAnsi" w:hAnsiTheme="minorHAnsi"/>
        </w:rPr>
        <w:t>An Overview On Integrated Reporting Framework</w:t>
      </w:r>
    </w:p>
    <w:p w:rsidR="00512442" w:rsidRPr="00512442" w:rsidRDefault="00512442" w:rsidP="00512442">
      <w:pPr>
        <w:pStyle w:val="ListParagraph"/>
        <w:numPr>
          <w:ilvl w:val="0"/>
          <w:numId w:val="20"/>
        </w:numPr>
        <w:spacing w:after="100" w:afterAutospacing="1" w:line="240" w:lineRule="auto"/>
        <w:ind w:left="-86"/>
        <w:rPr>
          <w:rFonts w:asciiTheme="minorHAnsi" w:hAnsiTheme="minorHAnsi"/>
        </w:rPr>
      </w:pPr>
      <w:r w:rsidRPr="00512442">
        <w:rPr>
          <w:rFonts w:asciiTheme="minorHAnsi" w:hAnsiTheme="minorHAnsi"/>
        </w:rPr>
        <w:t>Best Practices In The Principles &amp; Standards For Integrated Reporting</w:t>
      </w:r>
    </w:p>
    <w:p w:rsidR="00512442" w:rsidRPr="00512442" w:rsidRDefault="00512442" w:rsidP="00512442">
      <w:pPr>
        <w:pStyle w:val="ListParagraph"/>
        <w:numPr>
          <w:ilvl w:val="0"/>
          <w:numId w:val="20"/>
        </w:numPr>
        <w:spacing w:after="100" w:afterAutospacing="1" w:line="240" w:lineRule="auto"/>
        <w:ind w:left="-86"/>
        <w:rPr>
          <w:rFonts w:asciiTheme="minorHAnsi" w:hAnsiTheme="minorHAnsi"/>
        </w:rPr>
      </w:pPr>
      <w:r w:rsidRPr="00512442">
        <w:rPr>
          <w:rFonts w:asciiTheme="minorHAnsi" w:hAnsiTheme="minorHAnsi"/>
        </w:rPr>
        <w:t>Directors’ Responsibility In Expressing An Opinion In The Annual Report</w:t>
      </w:r>
    </w:p>
    <w:p w:rsidR="00512442" w:rsidRPr="00512442" w:rsidRDefault="00512442" w:rsidP="00512442">
      <w:pPr>
        <w:pStyle w:val="ListParagraph"/>
        <w:numPr>
          <w:ilvl w:val="0"/>
          <w:numId w:val="20"/>
        </w:numPr>
        <w:spacing w:after="100" w:afterAutospacing="1" w:line="240" w:lineRule="auto"/>
        <w:ind w:left="-86"/>
        <w:rPr>
          <w:rFonts w:asciiTheme="minorHAnsi" w:hAnsiTheme="minorHAnsi"/>
        </w:rPr>
      </w:pPr>
      <w:r w:rsidRPr="00512442">
        <w:rPr>
          <w:rFonts w:asciiTheme="minorHAnsi" w:hAnsiTheme="minorHAnsi"/>
        </w:rPr>
        <w:t>Moving Forward Beyond Financial Presentation</w:t>
      </w:r>
    </w:p>
    <w:p w:rsidR="00512442" w:rsidRDefault="00512442" w:rsidP="00512442">
      <w:pPr>
        <w:pStyle w:val="ListParagraph"/>
        <w:numPr>
          <w:ilvl w:val="0"/>
          <w:numId w:val="20"/>
        </w:numPr>
        <w:spacing w:after="100" w:afterAutospacing="1" w:line="240" w:lineRule="auto"/>
        <w:ind w:left="-86"/>
        <w:rPr>
          <w:rFonts w:asciiTheme="minorHAnsi" w:hAnsiTheme="minorHAnsi"/>
        </w:rPr>
      </w:pPr>
      <w:r w:rsidRPr="00512442">
        <w:rPr>
          <w:rFonts w:asciiTheme="minorHAnsi" w:hAnsiTheme="minorHAnsi"/>
        </w:rPr>
        <w:t>Impact of Companies Bill 2015</w:t>
      </w:r>
    </w:p>
    <w:p w:rsidR="00512442" w:rsidRPr="00512442" w:rsidRDefault="00512442" w:rsidP="00512442">
      <w:pPr>
        <w:spacing w:after="100" w:afterAutospacing="1"/>
        <w:rPr>
          <w:rFonts w:asciiTheme="minorHAnsi" w:hAnsiTheme="minorHAnsi"/>
        </w:rPr>
      </w:pPr>
    </w:p>
    <w:p w:rsidR="00BB37B7" w:rsidRPr="00512442" w:rsidRDefault="00512442" w:rsidP="00512442">
      <w:pPr>
        <w:pStyle w:val="ListParagraph"/>
        <w:numPr>
          <w:ilvl w:val="0"/>
          <w:numId w:val="20"/>
        </w:numPr>
        <w:rPr>
          <w:rFonts w:asciiTheme="minorHAnsi" w:hAnsiTheme="minorHAnsi"/>
        </w:rPr>
      </w:pPr>
      <w:r w:rsidRPr="00512442">
        <w:rPr>
          <w:rFonts w:asciiTheme="minorHAnsi" w:hAnsiTheme="minorHAnsi"/>
        </w:rPr>
        <w:lastRenderedPageBreak/>
        <w:t>Case Studies - British Land Plc &amp; Sime Darby Berhad</w:t>
      </w:r>
    </w:p>
    <w:p w:rsidR="001A500C" w:rsidRDefault="00BC6BD6" w:rsidP="00AE6D93">
      <w:pPr>
        <w:ind w:left="-450"/>
        <w:rPr>
          <w:rFonts w:asciiTheme="minorHAnsi" w:hAnsiTheme="minorHAnsi"/>
        </w:rPr>
      </w:pPr>
      <w:r>
        <w:rPr>
          <w:rFonts w:asciiTheme="minorHAnsi" w:hAnsiTheme="minorHAnsi"/>
          <w:noProof/>
          <w:lang w:val="en-US"/>
        </w:rPr>
        <w:pict>
          <v:roundrect id="_x0000_s1063" style="position:absolute;left:0;text-align:left;margin-left:-8.2pt;margin-top:3.1pt;width:150.55pt;height:23.4pt;z-index:-251648000" arcsize="10923f">
            <v:shadow on="t" offset="3pt" offset2="2pt"/>
            <v:textbox>
              <w:txbxContent>
                <w:p w:rsidR="004C3B41" w:rsidRPr="00B9676C" w:rsidRDefault="0052403E" w:rsidP="00374C5A">
                  <w:pPr>
                    <w:rPr>
                      <w:rFonts w:asciiTheme="minorHAnsi" w:hAnsiTheme="minorHAnsi"/>
                    </w:rPr>
                  </w:pPr>
                  <w:r>
                    <w:rPr>
                      <w:rFonts w:asciiTheme="minorHAnsi" w:hAnsiTheme="minorHAnsi"/>
                    </w:rPr>
                    <w:t>WHO SHOULD ATTEND</w:t>
                  </w:r>
                </w:p>
              </w:txbxContent>
            </v:textbox>
          </v:roundrect>
        </w:pict>
      </w:r>
    </w:p>
    <w:p w:rsidR="001A500C" w:rsidRDefault="001A500C" w:rsidP="00AE6D93">
      <w:pPr>
        <w:ind w:left="-450"/>
        <w:rPr>
          <w:rFonts w:asciiTheme="minorHAnsi" w:hAnsiTheme="minorHAnsi"/>
        </w:rPr>
      </w:pPr>
    </w:p>
    <w:p w:rsidR="001A500C" w:rsidRDefault="001A500C" w:rsidP="00AE6D93">
      <w:pPr>
        <w:ind w:left="-450"/>
        <w:rPr>
          <w:rFonts w:asciiTheme="minorHAnsi" w:hAnsiTheme="minorHAnsi"/>
        </w:rPr>
      </w:pPr>
    </w:p>
    <w:p w:rsidR="00512442" w:rsidRPr="00512442" w:rsidRDefault="00512442" w:rsidP="00512442">
      <w:pPr>
        <w:pStyle w:val="ListParagraph"/>
        <w:numPr>
          <w:ilvl w:val="0"/>
          <w:numId w:val="21"/>
        </w:numPr>
        <w:spacing w:after="0" w:line="240" w:lineRule="auto"/>
        <w:ind w:left="274"/>
        <w:rPr>
          <w:rFonts w:asciiTheme="minorHAnsi" w:hAnsiTheme="minorHAnsi"/>
        </w:rPr>
      </w:pPr>
      <w:r w:rsidRPr="00512442">
        <w:rPr>
          <w:rFonts w:asciiTheme="minorHAnsi" w:hAnsiTheme="minorHAnsi"/>
        </w:rPr>
        <w:t xml:space="preserve">Company Directors  </w:t>
      </w:r>
    </w:p>
    <w:p w:rsidR="00512442" w:rsidRPr="00512442" w:rsidRDefault="00512442" w:rsidP="00512442">
      <w:pPr>
        <w:pStyle w:val="ListParagraph"/>
        <w:numPr>
          <w:ilvl w:val="0"/>
          <w:numId w:val="21"/>
        </w:numPr>
        <w:spacing w:after="0" w:line="240" w:lineRule="auto"/>
        <w:ind w:left="274"/>
        <w:rPr>
          <w:rFonts w:asciiTheme="minorHAnsi" w:hAnsiTheme="minorHAnsi"/>
        </w:rPr>
      </w:pPr>
      <w:r w:rsidRPr="00512442">
        <w:rPr>
          <w:rFonts w:asciiTheme="minorHAnsi" w:hAnsiTheme="minorHAnsi"/>
        </w:rPr>
        <w:t xml:space="preserve">Financial Controllers &amp; Finance Managers </w:t>
      </w:r>
    </w:p>
    <w:p w:rsidR="00512442" w:rsidRPr="00512442" w:rsidRDefault="00512442" w:rsidP="00512442">
      <w:pPr>
        <w:pStyle w:val="ListParagraph"/>
        <w:numPr>
          <w:ilvl w:val="0"/>
          <w:numId w:val="21"/>
        </w:numPr>
        <w:spacing w:after="0" w:line="240" w:lineRule="auto"/>
        <w:ind w:left="274"/>
        <w:rPr>
          <w:rFonts w:asciiTheme="minorHAnsi" w:hAnsiTheme="minorHAnsi"/>
        </w:rPr>
      </w:pPr>
      <w:r w:rsidRPr="00512442">
        <w:rPr>
          <w:rFonts w:asciiTheme="minorHAnsi" w:hAnsiTheme="minorHAnsi"/>
        </w:rPr>
        <w:t xml:space="preserve">Accountants &amp; Auditors </w:t>
      </w:r>
    </w:p>
    <w:p w:rsidR="00512442" w:rsidRPr="00512442" w:rsidRDefault="00512442" w:rsidP="00512442">
      <w:pPr>
        <w:pStyle w:val="ListParagraph"/>
        <w:numPr>
          <w:ilvl w:val="0"/>
          <w:numId w:val="21"/>
        </w:numPr>
        <w:spacing w:after="0" w:line="240" w:lineRule="auto"/>
        <w:ind w:left="274"/>
        <w:rPr>
          <w:rFonts w:asciiTheme="minorHAnsi" w:hAnsiTheme="minorHAnsi"/>
        </w:rPr>
      </w:pPr>
      <w:r w:rsidRPr="00512442">
        <w:rPr>
          <w:rFonts w:asciiTheme="minorHAnsi" w:hAnsiTheme="minorHAnsi"/>
        </w:rPr>
        <w:t xml:space="preserve">Company Secretaries </w:t>
      </w:r>
    </w:p>
    <w:p w:rsidR="00512442" w:rsidRPr="00512442" w:rsidRDefault="00512442" w:rsidP="00512442">
      <w:pPr>
        <w:pStyle w:val="ListParagraph"/>
        <w:numPr>
          <w:ilvl w:val="0"/>
          <w:numId w:val="21"/>
        </w:numPr>
        <w:spacing w:after="0" w:line="240" w:lineRule="auto"/>
        <w:ind w:left="274"/>
        <w:rPr>
          <w:rFonts w:asciiTheme="minorHAnsi" w:hAnsiTheme="minorHAnsi"/>
        </w:rPr>
      </w:pPr>
      <w:r w:rsidRPr="00512442">
        <w:rPr>
          <w:rFonts w:asciiTheme="minorHAnsi" w:hAnsiTheme="minorHAnsi"/>
        </w:rPr>
        <w:t xml:space="preserve">Academicians </w:t>
      </w:r>
    </w:p>
    <w:p w:rsidR="00A92D43" w:rsidRPr="00512442" w:rsidRDefault="00512442" w:rsidP="00512442">
      <w:pPr>
        <w:pStyle w:val="ListParagraph"/>
        <w:numPr>
          <w:ilvl w:val="0"/>
          <w:numId w:val="21"/>
        </w:numPr>
        <w:spacing w:after="0" w:line="240" w:lineRule="auto"/>
        <w:ind w:left="274"/>
        <w:rPr>
          <w:rFonts w:asciiTheme="minorHAnsi" w:hAnsiTheme="minorHAnsi"/>
        </w:rPr>
      </w:pPr>
      <w:r w:rsidRPr="00512442">
        <w:rPr>
          <w:rFonts w:asciiTheme="minorHAnsi" w:hAnsiTheme="minorHAnsi"/>
        </w:rPr>
        <w:t>Fund &amp; Investment Managers</w:t>
      </w:r>
    </w:p>
    <w:p w:rsidR="00512442" w:rsidRDefault="00512442" w:rsidP="00512442">
      <w:pPr>
        <w:rPr>
          <w:rFonts w:asciiTheme="minorHAnsi" w:hAnsiTheme="minorHAnsi"/>
        </w:rPr>
      </w:pPr>
    </w:p>
    <w:p w:rsidR="003F6F40" w:rsidRPr="00B26841" w:rsidRDefault="00BC6BD6" w:rsidP="003F6F40">
      <w:pPr>
        <w:rPr>
          <w:rFonts w:asciiTheme="minorHAnsi" w:hAnsiTheme="minorHAnsi"/>
        </w:rPr>
      </w:pPr>
      <w:r>
        <w:rPr>
          <w:rFonts w:asciiTheme="minorHAnsi" w:hAnsiTheme="minorHAnsi"/>
          <w:noProof/>
          <w:lang w:val="en-US"/>
        </w:rPr>
        <w:pict>
          <v:roundrect id="_x0000_s1050" style="position:absolute;margin-left:-8.2pt;margin-top:8.2pt;width:150.55pt;height:23.4pt;z-index:-251652096" arcsize="10923f">
            <v:shadow on="t" offset="3pt" offset2="2pt"/>
          </v:roundrect>
        </w:pict>
      </w:r>
    </w:p>
    <w:p w:rsidR="003F6F40" w:rsidRPr="00B26841" w:rsidRDefault="003F6F40" w:rsidP="003F6F40">
      <w:pPr>
        <w:rPr>
          <w:rFonts w:asciiTheme="minorHAnsi" w:hAnsiTheme="minorHAnsi"/>
        </w:rPr>
      </w:pPr>
      <w:r w:rsidRPr="00B26841">
        <w:rPr>
          <w:rFonts w:asciiTheme="minorHAnsi" w:hAnsiTheme="minorHAnsi"/>
        </w:rPr>
        <w:t>COURSE METHODOLOGY</w:t>
      </w:r>
    </w:p>
    <w:p w:rsidR="003F6F40" w:rsidRPr="00B26841" w:rsidRDefault="003F6F40" w:rsidP="003F6F40">
      <w:pPr>
        <w:rPr>
          <w:rFonts w:asciiTheme="minorHAnsi" w:hAnsiTheme="minorHAnsi"/>
        </w:rPr>
      </w:pPr>
    </w:p>
    <w:p w:rsidR="00B26841" w:rsidRDefault="003F6F40" w:rsidP="00C472A2">
      <w:pPr>
        <w:jc w:val="both"/>
        <w:rPr>
          <w:rFonts w:asciiTheme="minorHAnsi" w:hAnsiTheme="minorHAnsi"/>
        </w:rPr>
      </w:pPr>
      <w:r w:rsidRPr="00B26841">
        <w:rPr>
          <w:rFonts w:asciiTheme="minorHAnsi" w:hAnsiTheme="minorHAnsi"/>
        </w:rPr>
        <w:t>Lectures facilitated by PowerPoint presentat</w:t>
      </w:r>
      <w:r w:rsidR="00B26841">
        <w:rPr>
          <w:rFonts w:asciiTheme="minorHAnsi" w:hAnsiTheme="minorHAnsi"/>
        </w:rPr>
        <w:t>ion and case studies discussion</w:t>
      </w:r>
      <w:r w:rsidR="00C472A2">
        <w:rPr>
          <w:rFonts w:asciiTheme="minorHAnsi" w:hAnsiTheme="minorHAnsi"/>
        </w:rPr>
        <w:t>.</w:t>
      </w:r>
    </w:p>
    <w:p w:rsidR="007757BC" w:rsidRDefault="007757BC" w:rsidP="00C472A2">
      <w:pPr>
        <w:jc w:val="both"/>
        <w:rPr>
          <w:rFonts w:asciiTheme="minorHAnsi" w:hAnsiTheme="minorHAnsi"/>
        </w:rPr>
      </w:pPr>
    </w:p>
    <w:p w:rsidR="00B26841" w:rsidRDefault="00B26841">
      <w:pPr>
        <w:rPr>
          <w:rFonts w:asciiTheme="minorHAnsi" w:hAnsiTheme="minorHAnsi"/>
        </w:rPr>
      </w:pPr>
    </w:p>
    <w:p w:rsidR="00B26841" w:rsidRDefault="00FF7C6C">
      <w:pPr>
        <w:rPr>
          <w:rFonts w:asciiTheme="minorHAnsi" w:hAnsiTheme="minorHAnsi"/>
        </w:rPr>
      </w:pPr>
      <w:r>
        <w:rPr>
          <w:rFonts w:asciiTheme="minorHAnsi" w:hAnsiTheme="minorHAnsi"/>
          <w:noProof/>
          <w:lang w:val="en-US"/>
        </w:rPr>
        <w:pict>
          <v:roundrect id="_x0000_s1051" style="position:absolute;margin-left:-8.2pt;margin-top:.3pt;width:150.55pt;height:23.4pt;z-index:-251651072" arcsize="10923f">
            <v:shadow on="t" offset="3pt" offset2="2pt"/>
            <v:textbox>
              <w:txbxContent>
                <w:p w:rsidR="00FF7C6C" w:rsidRPr="00B26841" w:rsidRDefault="00FF7C6C" w:rsidP="00FF7C6C">
                  <w:pPr>
                    <w:rPr>
                      <w:rFonts w:asciiTheme="minorHAnsi" w:hAnsiTheme="minorHAnsi"/>
                    </w:rPr>
                  </w:pPr>
                  <w:r>
                    <w:rPr>
                      <w:rFonts w:asciiTheme="minorHAnsi" w:hAnsiTheme="minorHAnsi"/>
                    </w:rPr>
                    <w:t>ADMINISTRATIVE DETAILS</w:t>
                  </w:r>
                </w:p>
                <w:p w:rsidR="00FF7C6C" w:rsidRDefault="00FF7C6C"/>
              </w:txbxContent>
            </v:textbox>
          </v:roundrect>
        </w:pict>
      </w:r>
    </w:p>
    <w:p w:rsidR="00FF7C6C" w:rsidRDefault="00FF7C6C">
      <w:pPr>
        <w:rPr>
          <w:rFonts w:asciiTheme="minorHAnsi" w:hAnsiTheme="minorHAnsi"/>
        </w:rPr>
      </w:pPr>
    </w:p>
    <w:p w:rsidR="00FF7C6C" w:rsidRDefault="00FF7C6C">
      <w:pPr>
        <w:rPr>
          <w:rFonts w:asciiTheme="minorHAnsi" w:hAnsiTheme="minorHAnsi"/>
        </w:rPr>
      </w:pPr>
    </w:p>
    <w:tbl>
      <w:tblPr>
        <w:tblStyle w:val="TableClassic1"/>
        <w:tblW w:w="4933" w:type="dxa"/>
        <w:tblLayout w:type="fixed"/>
        <w:tblLook w:val="04A0"/>
      </w:tblPr>
      <w:tblGrid>
        <w:gridCol w:w="1458"/>
        <w:gridCol w:w="270"/>
        <w:gridCol w:w="3205"/>
      </w:tblGrid>
      <w:tr w:rsidR="00D90843" w:rsidRPr="00D90843" w:rsidTr="00FF7C6C">
        <w:trPr>
          <w:cnfStyle w:val="100000000000"/>
          <w:trHeight w:val="284"/>
        </w:trPr>
        <w:tc>
          <w:tcPr>
            <w:cnfStyle w:val="001000000000"/>
            <w:tcW w:w="1458" w:type="dxa"/>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70" w:type="dxa"/>
          </w:tcPr>
          <w:p w:rsidR="00D90843" w:rsidRPr="00D90843" w:rsidRDefault="00D90843" w:rsidP="007757BC">
            <w:pPr>
              <w:ind w:right="308"/>
              <w:jc w:val="both"/>
              <w:cnfStyle w:val="100000000000"/>
              <w:rPr>
                <w:rFonts w:asciiTheme="minorHAnsi" w:hAnsiTheme="minorHAnsi" w:cs="Segoe UI Semibold"/>
                <w:sz w:val="20"/>
              </w:rPr>
            </w:pPr>
            <w:r w:rsidRPr="00D90843">
              <w:rPr>
                <w:rFonts w:asciiTheme="minorHAnsi" w:hAnsiTheme="minorHAnsi" w:cs="Segoe UI Semibold"/>
                <w:sz w:val="20"/>
              </w:rPr>
              <w:t>:</w:t>
            </w:r>
          </w:p>
        </w:tc>
        <w:tc>
          <w:tcPr>
            <w:tcW w:w="3205" w:type="dxa"/>
          </w:tcPr>
          <w:p w:rsidR="00D90843" w:rsidRPr="00D90843" w:rsidRDefault="00512442" w:rsidP="00BB37B7">
            <w:pPr>
              <w:ind w:right="308"/>
              <w:jc w:val="both"/>
              <w:cnfStyle w:val="100000000000"/>
              <w:rPr>
                <w:rFonts w:asciiTheme="minorHAnsi" w:hAnsiTheme="minorHAnsi" w:cs="Segoe UI Semibold"/>
                <w:sz w:val="20"/>
              </w:rPr>
            </w:pPr>
            <w:r>
              <w:rPr>
                <w:rFonts w:asciiTheme="minorHAnsi" w:hAnsiTheme="minorHAnsi" w:cs="Segoe UI Semibold"/>
                <w:sz w:val="20"/>
              </w:rPr>
              <w:t>22</w:t>
            </w:r>
            <w:r w:rsidRPr="00512442">
              <w:rPr>
                <w:rFonts w:asciiTheme="minorHAnsi" w:hAnsiTheme="minorHAnsi" w:cs="Segoe UI Semibold"/>
                <w:sz w:val="20"/>
                <w:vertAlign w:val="superscript"/>
              </w:rPr>
              <w:t>nd</w:t>
            </w:r>
            <w:r>
              <w:rPr>
                <w:rFonts w:asciiTheme="minorHAnsi" w:hAnsiTheme="minorHAnsi" w:cs="Segoe UI Semibold"/>
                <w:sz w:val="20"/>
              </w:rPr>
              <w:t xml:space="preserve"> November 2016</w:t>
            </w:r>
          </w:p>
        </w:tc>
      </w:tr>
      <w:tr w:rsidR="00D90843" w:rsidRPr="00D90843" w:rsidTr="00FF7C6C">
        <w:trPr>
          <w:trHeight w:val="284"/>
        </w:trPr>
        <w:tc>
          <w:tcPr>
            <w:cnfStyle w:val="001000000000"/>
            <w:tcW w:w="1458" w:type="dxa"/>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70" w:type="dxa"/>
          </w:tcPr>
          <w:p w:rsidR="00D90843" w:rsidRPr="00D90843" w:rsidRDefault="00D90843" w:rsidP="007757BC">
            <w:pPr>
              <w:ind w:right="308"/>
              <w:jc w:val="both"/>
              <w:cnfStyle w:val="000000000000"/>
              <w:rPr>
                <w:rFonts w:asciiTheme="minorHAnsi" w:hAnsiTheme="minorHAnsi" w:cs="Segoe UI Semibold"/>
                <w:sz w:val="20"/>
              </w:rPr>
            </w:pPr>
            <w:r w:rsidRPr="00D90843">
              <w:rPr>
                <w:rFonts w:asciiTheme="minorHAnsi" w:hAnsiTheme="minorHAnsi" w:cs="Segoe UI Semibold"/>
                <w:sz w:val="20"/>
              </w:rPr>
              <w:t>:</w:t>
            </w:r>
          </w:p>
        </w:tc>
        <w:tc>
          <w:tcPr>
            <w:tcW w:w="3205" w:type="dxa"/>
          </w:tcPr>
          <w:p w:rsidR="00D90843" w:rsidRPr="00D90843" w:rsidRDefault="000D57B6" w:rsidP="007757BC">
            <w:pPr>
              <w:ind w:right="308"/>
              <w:jc w:val="both"/>
              <w:cnfStyle w:val="000000000000"/>
              <w:rPr>
                <w:rFonts w:asciiTheme="minorHAnsi" w:hAnsiTheme="minorHAnsi" w:cs="Segoe UI Semibold"/>
                <w:sz w:val="20"/>
              </w:rPr>
            </w:pPr>
            <w:r>
              <w:rPr>
                <w:rFonts w:asciiTheme="minorHAnsi" w:hAnsiTheme="minorHAnsi" w:cs="Segoe UI Semibold"/>
                <w:sz w:val="20"/>
              </w:rPr>
              <w:t>Half-day(0900 – 13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FF7C6C">
        <w:trPr>
          <w:trHeight w:val="284"/>
        </w:trPr>
        <w:tc>
          <w:tcPr>
            <w:cnfStyle w:val="001000000000"/>
            <w:tcW w:w="1458" w:type="dxa"/>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70" w:type="dxa"/>
          </w:tcPr>
          <w:p w:rsidR="00D90843" w:rsidRPr="00D90843" w:rsidRDefault="00D90843" w:rsidP="007757BC">
            <w:pPr>
              <w:ind w:right="308"/>
              <w:jc w:val="both"/>
              <w:cnfStyle w:val="000000000000"/>
              <w:rPr>
                <w:rFonts w:asciiTheme="minorHAnsi" w:hAnsiTheme="minorHAnsi" w:cs="Segoe UI Semibold"/>
                <w:sz w:val="20"/>
              </w:rPr>
            </w:pPr>
            <w:r w:rsidRPr="00D90843">
              <w:rPr>
                <w:rFonts w:asciiTheme="minorHAnsi" w:hAnsiTheme="minorHAnsi" w:cs="Segoe UI Semibold"/>
                <w:sz w:val="20"/>
              </w:rPr>
              <w:t>:</w:t>
            </w:r>
          </w:p>
        </w:tc>
        <w:tc>
          <w:tcPr>
            <w:tcW w:w="3205" w:type="dxa"/>
          </w:tcPr>
          <w:p w:rsidR="00D90843" w:rsidRPr="00D90843" w:rsidRDefault="00D90843" w:rsidP="007757BC">
            <w:pPr>
              <w:ind w:right="308"/>
              <w:jc w:val="both"/>
              <w:cnfStyle w:val="000000000000"/>
              <w:rPr>
                <w:rFonts w:asciiTheme="minorHAnsi" w:hAnsiTheme="minorHAnsi" w:cs="Segoe UI Semibold"/>
                <w:sz w:val="20"/>
              </w:rPr>
            </w:pPr>
            <w:r w:rsidRPr="00D90843">
              <w:rPr>
                <w:rFonts w:asciiTheme="minorHAnsi" w:hAnsiTheme="minorHAnsi" w:cs="Segoe UI Semibold"/>
                <w:sz w:val="20"/>
              </w:rPr>
              <w:t>To be advised</w:t>
            </w:r>
          </w:p>
        </w:tc>
      </w:tr>
      <w:tr w:rsidR="00D90843" w:rsidRPr="00D90843" w:rsidTr="00FF7C6C">
        <w:trPr>
          <w:trHeight w:val="284"/>
        </w:trPr>
        <w:tc>
          <w:tcPr>
            <w:cnfStyle w:val="001000000000"/>
            <w:tcW w:w="1458" w:type="dxa"/>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70" w:type="dxa"/>
          </w:tcPr>
          <w:p w:rsidR="00D90843" w:rsidRPr="00D90843" w:rsidRDefault="00D90843" w:rsidP="007757BC">
            <w:pPr>
              <w:ind w:right="308"/>
              <w:jc w:val="both"/>
              <w:cnfStyle w:val="000000000000"/>
              <w:rPr>
                <w:rFonts w:asciiTheme="minorHAnsi" w:hAnsiTheme="minorHAnsi" w:cs="Segoe UI Semibold"/>
                <w:sz w:val="20"/>
              </w:rPr>
            </w:pPr>
            <w:r w:rsidRPr="00D90843">
              <w:rPr>
                <w:rFonts w:asciiTheme="minorHAnsi" w:hAnsiTheme="minorHAnsi" w:cs="Segoe UI Semibold"/>
                <w:sz w:val="20"/>
              </w:rPr>
              <w:t>:</w:t>
            </w:r>
          </w:p>
        </w:tc>
        <w:tc>
          <w:tcPr>
            <w:tcW w:w="3205" w:type="dxa"/>
          </w:tcPr>
          <w:p w:rsidR="00D90843" w:rsidRPr="00D90843" w:rsidRDefault="00D90843" w:rsidP="00512442">
            <w:pPr>
              <w:ind w:right="308"/>
              <w:jc w:val="both"/>
              <w:cnfStyle w:val="000000000000"/>
              <w:rPr>
                <w:rFonts w:asciiTheme="minorHAnsi" w:hAnsiTheme="minorHAnsi" w:cs="Segoe UI Semibold"/>
                <w:sz w:val="20"/>
              </w:rPr>
            </w:pPr>
            <w:r w:rsidRPr="00D90843">
              <w:rPr>
                <w:rFonts w:asciiTheme="minorHAnsi" w:hAnsiTheme="minorHAnsi" w:cs="Segoe UI Semibold"/>
                <w:sz w:val="20"/>
              </w:rPr>
              <w:t>RM</w:t>
            </w:r>
            <w:r w:rsidR="00512442">
              <w:rPr>
                <w:rFonts w:asciiTheme="minorHAnsi" w:hAnsiTheme="minorHAnsi" w:cs="Segoe UI Semibold"/>
                <w:sz w:val="20"/>
              </w:rPr>
              <w:t>880.00</w:t>
            </w:r>
            <w:r w:rsidRPr="00D90843">
              <w:rPr>
                <w:rFonts w:asciiTheme="minorHAnsi" w:hAnsiTheme="minorHAnsi" w:cs="Segoe UI Semibold"/>
                <w:sz w:val="20"/>
              </w:rPr>
              <w:t xml:space="preserve"> per participant </w:t>
            </w:r>
            <w:r w:rsidRPr="00D90843">
              <w:rPr>
                <w:rFonts w:asciiTheme="minorHAnsi" w:hAnsiTheme="minorHAnsi" w:cs="Segoe UI Semibold"/>
                <w:bCs/>
                <w:sz w:val="20"/>
              </w:rPr>
              <w:t>(</w:t>
            </w:r>
            <w:r w:rsidR="007757BC">
              <w:rPr>
                <w:rFonts w:asciiTheme="minorHAnsi" w:hAnsiTheme="minorHAnsi" w:cs="Segoe UI Semibold"/>
                <w:bCs/>
                <w:sz w:val="20"/>
              </w:rPr>
              <w:t xml:space="preserve">Fee is </w:t>
            </w:r>
            <w:r w:rsidR="00512442">
              <w:rPr>
                <w:rFonts w:asciiTheme="minorHAnsi" w:hAnsiTheme="minorHAnsi" w:cs="Segoe UI Semibold"/>
                <w:bCs/>
                <w:sz w:val="20"/>
              </w:rPr>
              <w:t>ex</w:t>
            </w:r>
            <w:r w:rsidR="007757BC">
              <w:rPr>
                <w:rFonts w:asciiTheme="minorHAnsi" w:hAnsiTheme="minorHAnsi" w:cs="Segoe UI Semibold"/>
                <w:bCs/>
                <w:sz w:val="20"/>
              </w:rPr>
              <w:t>clusive of</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FF7C6C">
        <w:trPr>
          <w:trHeight w:val="284"/>
        </w:trPr>
        <w:tc>
          <w:tcPr>
            <w:cnfStyle w:val="001000000000"/>
            <w:tcW w:w="1458" w:type="dxa"/>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70" w:type="dxa"/>
          </w:tcPr>
          <w:p w:rsidR="00D90843" w:rsidRPr="00D90843" w:rsidRDefault="00D90843" w:rsidP="007757BC">
            <w:pPr>
              <w:ind w:right="308"/>
              <w:jc w:val="both"/>
              <w:cnfStyle w:val="000000000000"/>
              <w:rPr>
                <w:rFonts w:asciiTheme="minorHAnsi" w:hAnsiTheme="minorHAnsi" w:cs="Segoe UI Semibold"/>
                <w:sz w:val="20"/>
              </w:rPr>
            </w:pPr>
            <w:r w:rsidRPr="00D90843">
              <w:rPr>
                <w:rFonts w:asciiTheme="minorHAnsi" w:hAnsiTheme="minorHAnsi" w:cs="Segoe UI Semibold"/>
                <w:sz w:val="20"/>
              </w:rPr>
              <w:t>:</w:t>
            </w:r>
          </w:p>
        </w:tc>
        <w:tc>
          <w:tcPr>
            <w:tcW w:w="3205" w:type="dxa"/>
          </w:tcPr>
          <w:p w:rsidR="00D90843" w:rsidRPr="00D90843" w:rsidRDefault="00D90843" w:rsidP="007757BC">
            <w:pPr>
              <w:ind w:right="308"/>
              <w:jc w:val="both"/>
              <w:cnfStyle w:val="000000000000"/>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BC6BD6">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46.45pt;margin-top:4.35pt;width:103.45pt;height:24.25pt;z-index:251657216;v-text-anchor:middle" fillcolor="white [3201]" strokecolor="#f79646 [3209]" strokeweight="2.5pt">
            <v:shadow color="#868686"/>
            <v:textbox style="mso-next-textbox:#_x0000_s1058">
              <w:txbxContent>
                <w:p w:rsidR="004C3B41" w:rsidRPr="007757BC" w:rsidRDefault="00FF7C6C" w:rsidP="007757BC">
                  <w:pPr>
                    <w:rPr>
                      <w:b/>
                      <w:szCs w:val="10"/>
                    </w:rPr>
                  </w:pPr>
                  <w:r>
                    <w:rPr>
                      <w:b/>
                      <w:szCs w:val="10"/>
                    </w:rPr>
                    <w:t>8</w:t>
                  </w:r>
                  <w:r w:rsidR="004C3B41" w:rsidRPr="007757BC">
                    <w:rPr>
                      <w:b/>
                      <w:szCs w:val="10"/>
                    </w:rPr>
                    <w:t xml:space="preserve"> CEP 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BB37B7" w:rsidRDefault="00BB37B7">
      <w:pPr>
        <w:rPr>
          <w:rFonts w:asciiTheme="minorHAnsi" w:hAnsiTheme="minorHAnsi"/>
        </w:rPr>
      </w:pPr>
    </w:p>
    <w:p w:rsidR="00D22FB3" w:rsidRDefault="00D22FB3">
      <w:pPr>
        <w:rPr>
          <w:rFonts w:asciiTheme="minorHAnsi" w:hAnsiTheme="minorHAnsi"/>
        </w:rPr>
      </w:pPr>
    </w:p>
    <w:p w:rsidR="00D22FB3" w:rsidRDefault="00D22FB3">
      <w:pPr>
        <w:rPr>
          <w:rFonts w:asciiTheme="minorHAnsi" w:hAnsiTheme="minorHAnsi"/>
        </w:rPr>
      </w:pPr>
    </w:p>
    <w:p w:rsidR="00D22FB3" w:rsidRDefault="00D22FB3">
      <w:pPr>
        <w:rPr>
          <w:rFonts w:asciiTheme="minorHAnsi" w:hAnsiTheme="minorHAnsi"/>
        </w:rPr>
      </w:pPr>
    </w:p>
    <w:p w:rsidR="00D22FB3" w:rsidRDefault="00D22FB3">
      <w:pPr>
        <w:rPr>
          <w:rFonts w:asciiTheme="minorHAnsi" w:hAnsiTheme="minorHAnsi"/>
        </w:rPr>
      </w:pPr>
    </w:p>
    <w:p w:rsidR="00D22FB3" w:rsidRDefault="00D22FB3">
      <w:pPr>
        <w:rPr>
          <w:rFonts w:asciiTheme="minorHAnsi" w:hAnsiTheme="minorHAnsi"/>
        </w:rPr>
      </w:pPr>
    </w:p>
    <w:p w:rsidR="00D22FB3" w:rsidRDefault="00D22FB3">
      <w:pPr>
        <w:rPr>
          <w:rFonts w:asciiTheme="minorHAnsi" w:hAnsiTheme="minorHAnsi"/>
        </w:rPr>
      </w:pPr>
    </w:p>
    <w:p w:rsidR="00A92D43" w:rsidRDefault="00A92D43">
      <w:pPr>
        <w:rPr>
          <w:rFonts w:asciiTheme="minorHAnsi" w:hAnsiTheme="minorHAnsi"/>
        </w:rPr>
      </w:pPr>
    </w:p>
    <w:p w:rsidR="00512442" w:rsidRDefault="00512442">
      <w:pPr>
        <w:rPr>
          <w:rFonts w:asciiTheme="minorHAnsi" w:hAnsiTheme="minorHAnsi"/>
        </w:rPr>
      </w:pPr>
    </w:p>
    <w:p w:rsidR="00512442" w:rsidRDefault="00512442">
      <w:pPr>
        <w:rPr>
          <w:rFonts w:asciiTheme="minorHAnsi" w:hAnsiTheme="minorHAnsi"/>
        </w:rPr>
      </w:pPr>
    </w:p>
    <w:p w:rsidR="00512442" w:rsidRDefault="00512442">
      <w:pPr>
        <w:rPr>
          <w:rFonts w:asciiTheme="minorHAnsi" w:hAnsiTheme="minorHAnsi"/>
        </w:rPr>
      </w:pPr>
    </w:p>
    <w:p w:rsidR="00512442" w:rsidRDefault="00512442">
      <w:pPr>
        <w:rPr>
          <w:rFonts w:asciiTheme="minorHAnsi" w:hAnsiTheme="minorHAnsi"/>
        </w:rPr>
      </w:pPr>
    </w:p>
    <w:p w:rsidR="00512442" w:rsidRDefault="00512442">
      <w:pPr>
        <w:rPr>
          <w:rFonts w:asciiTheme="minorHAnsi" w:hAnsiTheme="minorHAnsi"/>
        </w:rPr>
      </w:pPr>
    </w:p>
    <w:p w:rsidR="00512442" w:rsidRDefault="00512442">
      <w:pPr>
        <w:rPr>
          <w:rFonts w:asciiTheme="minorHAnsi" w:hAnsiTheme="minorHAnsi"/>
        </w:rPr>
      </w:pPr>
    </w:p>
    <w:p w:rsidR="00512442" w:rsidRDefault="00512442">
      <w:pPr>
        <w:rPr>
          <w:rFonts w:asciiTheme="minorHAnsi" w:hAnsiTheme="minorHAnsi"/>
        </w:rPr>
      </w:pPr>
    </w:p>
    <w:p w:rsidR="00512442" w:rsidRPr="00B26841" w:rsidRDefault="00512442">
      <w:pPr>
        <w:rPr>
          <w:rFonts w:asciiTheme="minorHAnsi" w:hAnsiTheme="minorHAnsi"/>
        </w:rPr>
        <w:sectPr w:rsidR="00512442" w:rsidRPr="00B26841" w:rsidSect="004C3B41">
          <w:type w:val="continuous"/>
          <w:pgSz w:w="11906" w:h="16838" w:code="9"/>
          <w:pgMar w:top="1440" w:right="1440" w:bottom="1440" w:left="1440" w:header="0" w:footer="0" w:gutter="0"/>
          <w:cols w:num="2" w:sep="1" w:space="720"/>
          <w:titlePg/>
          <w:docGrid w:linePitch="299"/>
        </w:sectPr>
      </w:pPr>
    </w:p>
    <w:p w:rsidR="00D90843" w:rsidRDefault="00D90843" w:rsidP="00D90843">
      <w:pPr>
        <w:rPr>
          <w:rFonts w:asciiTheme="minorHAnsi" w:hAnsiTheme="minorHAnsi"/>
        </w:rPr>
        <w:sectPr w:rsidR="00D90843" w:rsidSect="00B26841">
          <w:type w:val="continuous"/>
          <w:pgSz w:w="11906" w:h="16838" w:code="9"/>
          <w:pgMar w:top="806" w:right="922" w:bottom="900" w:left="1800" w:header="0" w:footer="0" w:gutter="0"/>
          <w:cols w:space="720"/>
          <w:titlePg/>
          <w:docGrid w:linePitch="299"/>
        </w:sectPr>
      </w:pPr>
    </w:p>
    <w:p w:rsidR="00374C5A" w:rsidRDefault="00374C5A" w:rsidP="00D90843">
      <w:pPr>
        <w:rPr>
          <w:rFonts w:asciiTheme="minorHAnsi" w:hAnsiTheme="minorHAnsi"/>
        </w:rPr>
      </w:pPr>
    </w:p>
    <w:p w:rsidR="00512442" w:rsidRDefault="00512442" w:rsidP="00D90843">
      <w:pPr>
        <w:rPr>
          <w:rFonts w:asciiTheme="minorHAnsi" w:hAnsiTheme="minorHAnsi"/>
        </w:rPr>
      </w:pPr>
    </w:p>
    <w:p w:rsidR="00512442" w:rsidRDefault="00512442" w:rsidP="00D90843">
      <w:pPr>
        <w:rPr>
          <w:rFonts w:asciiTheme="minorHAnsi" w:hAnsiTheme="minorHAnsi"/>
        </w:rPr>
      </w:pPr>
    </w:p>
    <w:p w:rsidR="007757BC" w:rsidRDefault="007757BC" w:rsidP="00D90843">
      <w:pPr>
        <w:rPr>
          <w:rFonts w:asciiTheme="minorHAnsi" w:hAnsiTheme="minorHAnsi"/>
        </w:rPr>
      </w:pPr>
    </w:p>
    <w:p w:rsidR="00374C5A" w:rsidRDefault="00BC6BD6" w:rsidP="00D90843">
      <w:pPr>
        <w:rPr>
          <w:rFonts w:asciiTheme="minorHAnsi" w:hAnsiTheme="minorHAnsi"/>
        </w:rPr>
      </w:pPr>
      <w:r>
        <w:rPr>
          <w:rFonts w:asciiTheme="minorHAnsi" w:hAnsiTheme="minorHAnsi"/>
          <w:noProof/>
          <w:lang w:val="en-US"/>
        </w:rPr>
        <w:pict>
          <v:roundrect id="_x0000_s1064" style="position:absolute;margin-left:-11.85pt;margin-top:7.75pt;width:160.2pt;height:25.5pt;z-index:251669504" arcsize="10923f" fillcolor="white [3201]" strokecolor="#f79646 [3209]" strokeweight="2.5pt">
            <v:shadow color="#868686"/>
            <v:textbox>
              <w:txbxContent>
                <w:p w:rsidR="004C3B41" w:rsidRPr="007757BC" w:rsidRDefault="004C3B41">
                  <w:pPr>
                    <w:rPr>
                      <w:rFonts w:asciiTheme="minorHAnsi" w:hAnsiTheme="minorHAnsi"/>
                    </w:rPr>
                  </w:pPr>
                  <w:r w:rsidRPr="00D90843">
                    <w:rPr>
                      <w:rFonts w:asciiTheme="minorHAnsi" w:hAnsiTheme="minorHAnsi"/>
                    </w:rPr>
                    <w:t>PRESENTER’S PROFILE</w:t>
                  </w:r>
                </w:p>
              </w:txbxContent>
            </v:textbox>
          </v:roundrect>
        </w:pict>
      </w:r>
    </w:p>
    <w:p w:rsidR="00D90843" w:rsidRPr="00D90843" w:rsidRDefault="00D90843" w:rsidP="00D90843">
      <w:pPr>
        <w:rPr>
          <w:rFonts w:asciiTheme="minorHAnsi" w:hAnsiTheme="minorHAnsi"/>
        </w:rPr>
      </w:pPr>
    </w:p>
    <w:p w:rsidR="00D90843" w:rsidRPr="00D90843" w:rsidRDefault="00D90843" w:rsidP="00D90843">
      <w:pPr>
        <w:rPr>
          <w:rFonts w:asciiTheme="minorHAnsi" w:hAnsiTheme="minorHAnsi"/>
        </w:rPr>
      </w:pPr>
    </w:p>
    <w:p w:rsidR="00D90843" w:rsidRPr="007757BC" w:rsidRDefault="00D90843" w:rsidP="00D90843">
      <w:pPr>
        <w:rPr>
          <w:rFonts w:asciiTheme="minorHAnsi" w:hAnsiTheme="minorHAnsi"/>
          <w:b/>
          <w:szCs w:val="22"/>
        </w:rPr>
      </w:pPr>
      <w:r w:rsidRPr="007757BC">
        <w:rPr>
          <w:rFonts w:asciiTheme="minorHAnsi" w:hAnsiTheme="minorHAnsi"/>
          <w:b/>
          <w:szCs w:val="22"/>
        </w:rPr>
        <w:t>MR. BOEY TAK KONG CA (M), FCCA, ACIS, MIMM, MMIM</w:t>
      </w:r>
    </w:p>
    <w:p w:rsidR="00D90843" w:rsidRPr="007757BC" w:rsidRDefault="00D90843" w:rsidP="00D90843">
      <w:pPr>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He has over 23 years of senior management experience in internal audit, financial management, corporate affairs and global business development with 6 listed entities with listings in United Kingdom, Singapore, Malaysia, Australia and New Zealand.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Since February 2000, he has served as an Independent Non-Executive Director of Public Listed Companies and presently holds directorship in Dutch Lady Milk Industries Bhd, Green Packet Berhad, Gadang Holdings Bhd, Censof Holdings Bhd and Ho Hup Construction Company Berhad.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Past directorships in listed entities include IJM Land Berhad, Sanbumi Holdings Berhad, Omesti Berahd and Permaju Industries Berhad.</w:t>
      </w:r>
    </w:p>
    <w:p w:rsidR="00C248F9" w:rsidRPr="00C248F9" w:rsidRDefault="00C248F9" w:rsidP="00C248F9">
      <w:pPr>
        <w:jc w:val="both"/>
        <w:rPr>
          <w:rFonts w:asciiTheme="minorHAnsi" w:hAnsiTheme="minorHAnsi"/>
          <w:szCs w:val="22"/>
        </w:rPr>
      </w:pPr>
    </w:p>
    <w:p w:rsidR="00D90843" w:rsidRDefault="00C248F9" w:rsidP="00C248F9">
      <w:pPr>
        <w:jc w:val="both"/>
        <w:rPr>
          <w:rFonts w:asciiTheme="minorHAnsi" w:hAnsiTheme="minorHAnsi"/>
          <w:szCs w:val="22"/>
        </w:rPr>
      </w:pPr>
      <w:r w:rsidRPr="00C248F9">
        <w:rPr>
          <w:rFonts w:asciiTheme="minorHAnsi" w:hAnsiTheme="minorHAnsi"/>
          <w:szCs w:val="22"/>
        </w:rPr>
        <w:t>As an accredited HRDF trainer since 2007, he regularly speaks over the last 18 years at seminars organized by the following professional bodies:-</w:t>
      </w:r>
    </w:p>
    <w:p w:rsidR="00C248F9" w:rsidRPr="007757BC" w:rsidRDefault="00C248F9" w:rsidP="00C248F9">
      <w:pPr>
        <w:rPr>
          <w:rFonts w:asciiTheme="minorHAnsi" w:hAnsiTheme="minorHAnsi"/>
          <w:szCs w:val="22"/>
        </w:rPr>
      </w:pP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Malaysian Institute Of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Association of Chartered Certified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Chartered Institute of Management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Institute Of Internal Auditors Malaysia</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Certified Public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Chartered Secretaries &amp; Administrators</w:t>
      </w:r>
    </w:p>
    <w:p w:rsidR="003F6F40" w:rsidRPr="007757BC" w:rsidRDefault="00D90843" w:rsidP="00BF363A">
      <w:pPr>
        <w:numPr>
          <w:ilvl w:val="0"/>
          <w:numId w:val="2"/>
        </w:numPr>
        <w:rPr>
          <w:rFonts w:asciiTheme="minorHAnsi" w:hAnsiTheme="minorHAnsi"/>
          <w:szCs w:val="22"/>
        </w:rPr>
      </w:pPr>
      <w:r w:rsidRPr="007757BC">
        <w:rPr>
          <w:rFonts w:asciiTheme="minorHAnsi" w:hAnsiTheme="minorHAnsi"/>
          <w:szCs w:val="22"/>
        </w:rPr>
        <w:t>Minority Shareholder Watchdog Group</w:t>
      </w:r>
    </w:p>
    <w:p w:rsidR="00D90843" w:rsidRPr="007757BC" w:rsidRDefault="00D90843">
      <w:pPr>
        <w:rPr>
          <w:szCs w:val="22"/>
        </w:rPr>
        <w:sectPr w:rsidR="00D90843" w:rsidRPr="007757BC" w:rsidSect="004C3B41">
          <w:type w:val="continuous"/>
          <w:pgSz w:w="11906" w:h="16838" w:code="9"/>
          <w:pgMar w:top="288" w:right="922" w:bottom="907" w:left="1800" w:header="0" w:footer="0" w:gutter="0"/>
          <w:cols w:space="284"/>
          <w:titlePg/>
          <w:docGrid w:linePitch="299"/>
        </w:sectPr>
      </w:pPr>
    </w:p>
    <w:p w:rsidR="00D90843" w:rsidRDefault="00D90843"/>
    <w:p w:rsidR="006807E9" w:rsidRDefault="006807E9"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E76169" w:rsidRPr="004E6547" w:rsidRDefault="004E6547" w:rsidP="004E6547">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sdt>
      <w:sdtPr>
        <w:rPr>
          <w:sz w:val="44"/>
          <w:szCs w:val="44"/>
        </w:rPr>
        <w:alias w:val="Title"/>
        <w:id w:val="109011422"/>
        <w:placeholder>
          <w:docPart w:val="766C15E02F374513847B81F403CDE7E2"/>
        </w:placeholder>
        <w:dataBinding w:prefixMappings="xmlns:ns0='http://purl.org/dc/elements/1.1/' xmlns:ns1='http://schemas.openxmlformats.org/package/2006/metadata/core-properties' " w:xpath="/ns1:coreProperties[1]/ns0:title[1]" w:storeItemID="{6C3C8BC8-F283-45AE-878A-BAB7291924A1}"/>
        <w:text/>
      </w:sdtPr>
      <w:sdtContent>
        <w:p w:rsidR="00BB37B7" w:rsidRPr="00FF7C6C" w:rsidRDefault="00FF7C6C" w:rsidP="00FF7C6C">
          <w:pPr>
            <w:pStyle w:val="Title"/>
            <w:jc w:val="center"/>
            <w:rPr>
              <w:sz w:val="44"/>
              <w:szCs w:val="44"/>
            </w:rPr>
          </w:pPr>
          <w:r w:rsidRPr="00FF7C6C">
            <w:rPr>
              <w:sz w:val="44"/>
              <w:szCs w:val="44"/>
              <w:lang w:val="en-MY"/>
            </w:rPr>
            <w:t>Best Practices &amp; Principles of Integrated Reporting &amp; Its Disclosure Framework</w:t>
          </w:r>
        </w:p>
      </w:sdtContent>
    </w:sdt>
    <w:p w:rsidR="000D57B6" w:rsidRDefault="00FF7C6C" w:rsidP="00BB37B7">
      <w:pPr>
        <w:jc w:val="center"/>
        <w:rPr>
          <w:rFonts w:asciiTheme="minorHAnsi" w:hAnsiTheme="minorHAnsi"/>
          <w:sz w:val="24"/>
          <w:szCs w:val="24"/>
        </w:rPr>
      </w:pPr>
      <w:r>
        <w:rPr>
          <w:rFonts w:asciiTheme="minorHAnsi" w:hAnsiTheme="minorHAnsi"/>
          <w:sz w:val="24"/>
          <w:szCs w:val="24"/>
        </w:rPr>
        <w:t>Half-day</w:t>
      </w:r>
      <w:r w:rsidR="000D57B6">
        <w:rPr>
          <w:rFonts w:asciiTheme="minorHAnsi" w:hAnsiTheme="minorHAnsi"/>
          <w:sz w:val="24"/>
          <w:szCs w:val="24"/>
        </w:rPr>
        <w:t>(0900 – 1300)</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BC6BD6">
      <w:pPr>
        <w:rPr>
          <w:rFonts w:asciiTheme="minorHAnsi" w:hAnsiTheme="minorHAnsi"/>
          <w:sz w:val="24"/>
          <w:szCs w:val="24"/>
        </w:rPr>
      </w:pPr>
      <w:r w:rsidRPr="00BC6BD6">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7308" w:type="dxa"/>
        <w:tblLayout w:type="fixed"/>
        <w:tblLook w:val="04A0"/>
      </w:tblPr>
      <w:tblGrid>
        <w:gridCol w:w="473"/>
        <w:gridCol w:w="3415"/>
        <w:gridCol w:w="270"/>
        <w:gridCol w:w="270"/>
        <w:gridCol w:w="270"/>
        <w:gridCol w:w="276"/>
        <w:gridCol w:w="354"/>
        <w:gridCol w:w="1980"/>
      </w:tblGrid>
      <w:tr w:rsidR="00E70F7E" w:rsidRPr="00E76169" w:rsidTr="00FF7C6C">
        <w:trPr>
          <w:trHeight w:val="383"/>
        </w:trPr>
        <w:tc>
          <w:tcPr>
            <w:tcW w:w="473" w:type="dxa"/>
            <w:vAlign w:val="center"/>
          </w:tcPr>
          <w:p w:rsidR="00E70F7E" w:rsidRPr="00E76169" w:rsidRDefault="00BC6BD6" w:rsidP="00E70F7E">
            <w:pPr>
              <w:rPr>
                <w:rFonts w:asciiTheme="minorHAnsi" w:hAnsiTheme="minorHAnsi"/>
                <w:sz w:val="24"/>
                <w:szCs w:val="24"/>
                <w:lang w:val="en-US"/>
              </w:rPr>
            </w:pPr>
            <w:r>
              <w:rPr>
                <w:rFonts w:asciiTheme="minorHAnsi" w:hAnsiTheme="minorHAnsi"/>
                <w:noProof/>
                <w:sz w:val="24"/>
                <w:szCs w:val="24"/>
                <w:lang w:val="en-US"/>
              </w:rPr>
              <w:pict>
                <v:rect id="_x0000_s1071" style="position:absolute;margin-left:2.4pt;margin-top:0;width:10.65pt;height:10.05pt;z-index:251677696;mso-position-vertical:bottom;mso-position-vertical-relative:margin">
                  <v:shadow on="t" offset=",3pt" offset2=",2pt"/>
                  <w10:wrap anchory="margin"/>
                </v:rect>
              </w:pict>
            </w:r>
          </w:p>
        </w:tc>
        <w:tc>
          <w:tcPr>
            <w:tcW w:w="3415" w:type="dxa"/>
            <w:vAlign w:val="center"/>
          </w:tcPr>
          <w:p w:rsidR="00E70F7E" w:rsidRPr="00E76169" w:rsidRDefault="00FF7C6C" w:rsidP="00E70F7E">
            <w:pPr>
              <w:rPr>
                <w:rFonts w:asciiTheme="minorHAnsi" w:hAnsiTheme="minorHAnsi"/>
                <w:sz w:val="24"/>
                <w:szCs w:val="24"/>
                <w:lang w:val="en-US"/>
              </w:rPr>
            </w:pPr>
            <w:r>
              <w:rPr>
                <w:rFonts w:asciiTheme="minorHAnsi" w:hAnsiTheme="minorHAnsi"/>
                <w:sz w:val="24"/>
                <w:szCs w:val="24"/>
                <w:lang w:val="en-US"/>
              </w:rPr>
              <w:t>22</w:t>
            </w:r>
            <w:r w:rsidRPr="00FF7C6C">
              <w:rPr>
                <w:rFonts w:asciiTheme="minorHAnsi" w:hAnsiTheme="minorHAnsi"/>
                <w:sz w:val="24"/>
                <w:szCs w:val="24"/>
                <w:vertAlign w:val="superscript"/>
                <w:lang w:val="en-US"/>
              </w:rPr>
              <w:t>nd</w:t>
            </w:r>
            <w:r>
              <w:rPr>
                <w:rFonts w:asciiTheme="minorHAnsi" w:hAnsiTheme="minorHAnsi"/>
                <w:sz w:val="24"/>
                <w:szCs w:val="24"/>
                <w:lang w:val="en-US"/>
              </w:rPr>
              <w:t xml:space="preserve"> November 2016</w:t>
            </w:r>
          </w:p>
        </w:tc>
        <w:tc>
          <w:tcPr>
            <w:tcW w:w="270" w:type="dxa"/>
            <w:vAlign w:val="center"/>
          </w:tcPr>
          <w:p w:rsidR="00E70F7E" w:rsidRPr="00E76169" w:rsidRDefault="00E70F7E" w:rsidP="00E70F7E">
            <w:pPr>
              <w:rPr>
                <w:rFonts w:asciiTheme="minorHAnsi" w:hAnsiTheme="minorHAnsi"/>
                <w:sz w:val="24"/>
                <w:szCs w:val="24"/>
                <w:lang w:val="en-US"/>
              </w:rPr>
            </w:pPr>
          </w:p>
        </w:tc>
        <w:tc>
          <w:tcPr>
            <w:tcW w:w="270" w:type="dxa"/>
            <w:vAlign w:val="center"/>
          </w:tcPr>
          <w:p w:rsidR="00E70F7E" w:rsidRPr="00E76169" w:rsidRDefault="00E70F7E" w:rsidP="00E70F7E">
            <w:pPr>
              <w:rPr>
                <w:rFonts w:asciiTheme="minorHAnsi" w:hAnsiTheme="minorHAnsi"/>
                <w:sz w:val="24"/>
                <w:szCs w:val="24"/>
                <w:lang w:val="en-US"/>
              </w:rPr>
            </w:pPr>
          </w:p>
        </w:tc>
        <w:tc>
          <w:tcPr>
            <w:tcW w:w="270" w:type="dxa"/>
            <w:vAlign w:val="center"/>
          </w:tcPr>
          <w:p w:rsidR="00E70F7E" w:rsidRPr="00E76169" w:rsidRDefault="00E70F7E" w:rsidP="00E70F7E">
            <w:pPr>
              <w:rPr>
                <w:rFonts w:asciiTheme="minorHAnsi" w:hAnsiTheme="minorHAnsi"/>
                <w:sz w:val="24"/>
                <w:szCs w:val="24"/>
                <w:lang w:val="en-US"/>
              </w:rPr>
            </w:pPr>
          </w:p>
        </w:tc>
        <w:tc>
          <w:tcPr>
            <w:tcW w:w="276" w:type="dxa"/>
            <w:vAlign w:val="center"/>
          </w:tcPr>
          <w:p w:rsidR="00E70F7E" w:rsidRPr="00E76169" w:rsidRDefault="00E70F7E" w:rsidP="00E70F7E">
            <w:pPr>
              <w:rPr>
                <w:rFonts w:asciiTheme="minorHAnsi" w:hAnsiTheme="minorHAnsi"/>
                <w:sz w:val="24"/>
                <w:szCs w:val="24"/>
                <w:lang w:val="en-US"/>
              </w:rPr>
            </w:pPr>
          </w:p>
        </w:tc>
        <w:tc>
          <w:tcPr>
            <w:tcW w:w="354" w:type="dxa"/>
            <w:vAlign w:val="center"/>
          </w:tcPr>
          <w:p w:rsidR="00E70F7E" w:rsidRDefault="00E70F7E" w:rsidP="00E70F7E">
            <w:pPr>
              <w:rPr>
                <w:rFonts w:asciiTheme="minorHAnsi" w:hAnsiTheme="minorHAnsi"/>
                <w:sz w:val="24"/>
                <w:szCs w:val="24"/>
                <w:lang w:val="en-US"/>
              </w:rPr>
            </w:pPr>
          </w:p>
        </w:tc>
        <w:tc>
          <w:tcPr>
            <w:tcW w:w="1980" w:type="dxa"/>
            <w:vAlign w:val="center"/>
          </w:tcPr>
          <w:p w:rsidR="00E70F7E" w:rsidRDefault="00E70F7E" w:rsidP="00E70F7E">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BC6BD6" w:rsidP="00E76169">
      <w:pPr>
        <w:rPr>
          <w:rFonts w:asciiTheme="minorHAnsi" w:hAnsiTheme="minorHAnsi"/>
          <w:sz w:val="24"/>
          <w:szCs w:val="24"/>
        </w:rPr>
      </w:pPr>
      <w:r w:rsidRPr="00BC6BD6">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p>
        </w:tc>
        <w:tc>
          <w:tcPr>
            <w:tcW w:w="284" w:type="dxa"/>
            <w:vAlign w:val="center"/>
          </w:tcPr>
          <w:p w:rsidR="00E76169" w:rsidRPr="00E76169" w:rsidRDefault="00E76169" w:rsidP="007757B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C248F9" w:rsidRDefault="00BC6BD6" w:rsidP="00E76169">
      <w:pPr>
        <w:jc w:val="center"/>
        <w:rPr>
          <w:rFonts w:asciiTheme="minorHAnsi" w:hAnsiTheme="minorHAnsi"/>
          <w:sz w:val="24"/>
          <w:szCs w:val="24"/>
        </w:rPr>
      </w:pPr>
      <w:r w:rsidRPr="00BC6BD6">
        <w:rPr>
          <w:rFonts w:asciiTheme="minorHAnsi" w:hAnsiTheme="minorHAnsi"/>
          <w:noProof/>
          <w:color w:val="548DD4" w:themeColor="text2" w:themeTint="99"/>
          <w:sz w:val="24"/>
          <w:szCs w:val="24"/>
          <w:lang w:val="en-US"/>
        </w:rPr>
        <w:pict>
          <v:shape id="_x0000_s1059" type="#_x0000_t55" style="position:absolute;left:0;text-align:left;margin-left:-17.8pt;margin-top:-.1pt;width:11.05pt;height:16.85pt;z-index:251658240" strokecolor="#548dd4"/>
        </w:pict>
      </w:r>
      <w:r w:rsidR="00E76169" w:rsidRPr="00E76169">
        <w:rPr>
          <w:rFonts w:asciiTheme="minorHAnsi" w:hAnsiTheme="minorHAnsi"/>
          <w:sz w:val="24"/>
          <w:szCs w:val="24"/>
        </w:rPr>
        <w:t>To register,</w:t>
      </w:r>
    </w:p>
    <w:p w:rsidR="00E76169" w:rsidRPr="00E76169" w:rsidRDefault="00FF7C6C" w:rsidP="00E76169">
      <w:pPr>
        <w:jc w:val="center"/>
        <w:rPr>
          <w:rFonts w:asciiTheme="minorHAnsi" w:hAnsiTheme="minorHAnsi"/>
          <w:sz w:val="24"/>
          <w:szCs w:val="24"/>
        </w:rPr>
      </w:pPr>
      <w:r>
        <w:rPr>
          <w:rFonts w:asciiTheme="minorHAnsi" w:hAnsiTheme="minorHAnsi"/>
          <w:sz w:val="24"/>
          <w:szCs w:val="24"/>
        </w:rPr>
        <w:t>P</w:t>
      </w:r>
      <w:r w:rsidR="00E76169" w:rsidRPr="00E76169">
        <w:rPr>
          <w:rFonts w:asciiTheme="minorHAnsi" w:hAnsiTheme="minorHAnsi"/>
          <w:sz w:val="24"/>
          <w:szCs w:val="24"/>
        </w:rPr>
        <w:t>lease call 03-7958 8001 / 03-7958 8002 or</w:t>
      </w:r>
    </w:p>
    <w:p w:rsidR="00C248F9" w:rsidRDefault="00FF7C6C" w:rsidP="00E76169">
      <w:pPr>
        <w:jc w:val="center"/>
        <w:rPr>
          <w:rFonts w:asciiTheme="minorHAnsi" w:hAnsiTheme="minorHAnsi"/>
          <w:sz w:val="24"/>
          <w:szCs w:val="24"/>
        </w:rPr>
      </w:pPr>
      <w:r>
        <w:rPr>
          <w:rFonts w:asciiTheme="minorHAnsi" w:hAnsiTheme="minorHAnsi"/>
          <w:sz w:val="24"/>
          <w:szCs w:val="24"/>
        </w:rPr>
        <w:t>F</w:t>
      </w:r>
      <w:r w:rsidR="00E76169" w:rsidRPr="00E76169">
        <w:rPr>
          <w:rFonts w:asciiTheme="minorHAnsi" w:hAnsiTheme="minorHAnsi"/>
          <w:sz w:val="24"/>
          <w:szCs w:val="24"/>
        </w:rPr>
        <w:t>ax Registration Form to: 03–7954 8</w:t>
      </w:r>
      <w:r w:rsidR="00C248F9">
        <w:rPr>
          <w:rFonts w:asciiTheme="minorHAnsi" w:hAnsiTheme="minorHAnsi"/>
          <w:sz w:val="24"/>
          <w:szCs w:val="24"/>
        </w:rPr>
        <w:t>001</w:t>
      </w:r>
      <w:r w:rsidR="00E76169" w:rsidRPr="00E76169">
        <w:rPr>
          <w:rFonts w:asciiTheme="minorHAnsi" w:hAnsiTheme="minorHAnsi"/>
          <w:sz w:val="24"/>
          <w:szCs w:val="24"/>
        </w:rPr>
        <w:t xml:space="preserve"> or</w:t>
      </w:r>
    </w:p>
    <w:p w:rsidR="00E76169" w:rsidRDefault="00FF7C6C" w:rsidP="00FF7C6C">
      <w:pPr>
        <w:jc w:val="center"/>
        <w:rPr>
          <w:rFonts w:asciiTheme="minorHAnsi" w:hAnsiTheme="minorHAnsi"/>
          <w:sz w:val="24"/>
          <w:szCs w:val="24"/>
        </w:rPr>
      </w:pPr>
      <w:r>
        <w:rPr>
          <w:rFonts w:asciiTheme="minorHAnsi" w:hAnsiTheme="minorHAnsi"/>
          <w:sz w:val="24"/>
          <w:szCs w:val="24"/>
        </w:rPr>
        <w:t>E</w:t>
      </w:r>
      <w:r w:rsidR="00E76169" w:rsidRPr="00E76169">
        <w:rPr>
          <w:rFonts w:asciiTheme="minorHAnsi" w:hAnsiTheme="minorHAnsi"/>
          <w:sz w:val="24"/>
          <w:szCs w:val="24"/>
        </w:rPr>
        <w:t xml:space="preserve">-mail to: </w:t>
      </w:r>
      <w:r w:rsidRPr="00FF7C6C">
        <w:rPr>
          <w:rFonts w:asciiTheme="minorHAnsi" w:hAnsiTheme="minorHAnsi"/>
          <w:sz w:val="24"/>
          <w:szCs w:val="24"/>
        </w:rPr>
        <w:t>bursatra5@gmail.com</w:t>
      </w:r>
    </w:p>
    <w:p w:rsidR="00C248F9" w:rsidRDefault="00BC6BD6" w:rsidP="00E76169">
      <w:pPr>
        <w:jc w:val="center"/>
        <w:rPr>
          <w:rFonts w:asciiTheme="minorHAnsi" w:hAnsiTheme="minorHAnsi"/>
          <w:sz w:val="24"/>
          <w:szCs w:val="24"/>
        </w:rPr>
      </w:pPr>
      <w:r>
        <w:rPr>
          <w:rFonts w:asciiTheme="minorHAnsi" w:hAnsiTheme="minorHAnsi"/>
          <w:noProof/>
          <w:sz w:val="24"/>
          <w:szCs w:val="24"/>
          <w:lang w:val="en-US"/>
        </w:rPr>
        <w:pict>
          <v:roundrect id="_x0000_s1066" style="position:absolute;left:0;text-align:left;margin-left:-29.25pt;margin-top:10.95pt;width:492pt;height:51.75pt;z-index:251671552;v-text-anchor:middle" arcsize="10923f" fillcolor="white [3201]" strokecolor="#f79646 [3209]" strokeweight="1pt">
            <v:stroke dashstyle="dash"/>
            <v:shadow color="#868686"/>
            <v:textbox>
              <w:txbxContent>
                <w:p w:rsidR="004C3B41" w:rsidRPr="00C248F9" w:rsidRDefault="004C3B41" w:rsidP="00C248F9">
                  <w:pPr>
                    <w:jc w:val="center"/>
                    <w:rPr>
                      <w:rFonts w:asciiTheme="minorHAnsi" w:hAnsiTheme="minorHAnsi"/>
                      <w:sz w:val="20"/>
                    </w:rPr>
                  </w:pPr>
                  <w:r w:rsidRPr="00C248F9">
                    <w:rPr>
                      <w:rFonts w:asciiTheme="minorHAnsi" w:hAnsiTheme="minorHAnsi"/>
                      <w:sz w:val="20"/>
                    </w:rPr>
                    <w:t>Postponement / Cancellation within seven (07) working days prior to the event are subject to a cancellation / postponement fee of 20%. Full amount of the registration fee(s) is chargeable for non-attendance of the participant(s).</w:t>
                  </w:r>
                </w:p>
              </w:txbxContent>
            </v:textbox>
          </v:roundrect>
        </w:pict>
      </w:r>
    </w:p>
    <w:p w:rsidR="00C248F9" w:rsidRDefault="00C248F9" w:rsidP="00E76169">
      <w:pPr>
        <w:jc w:val="center"/>
        <w:rPr>
          <w:rFonts w:asciiTheme="minorHAnsi" w:hAnsiTheme="minorHAnsi"/>
          <w:sz w:val="24"/>
          <w:szCs w:val="24"/>
        </w:rPr>
      </w:pPr>
    </w:p>
    <w:p w:rsidR="00C248F9" w:rsidRDefault="00C248F9" w:rsidP="00E76169">
      <w:pPr>
        <w:jc w:val="center"/>
        <w:rPr>
          <w:rFonts w:asciiTheme="minorHAnsi" w:hAnsiTheme="minorHAnsi"/>
          <w:sz w:val="24"/>
          <w:szCs w:val="24"/>
        </w:rPr>
      </w:pPr>
    </w:p>
    <w:p w:rsidR="00C248F9" w:rsidRPr="00E76169" w:rsidRDefault="00C248F9" w:rsidP="00E76169">
      <w:pPr>
        <w:jc w:val="center"/>
        <w:rPr>
          <w:rFonts w:asciiTheme="minorHAnsi" w:hAnsiTheme="minorHAnsi"/>
          <w:sz w:val="24"/>
          <w:szCs w:val="24"/>
        </w:rPr>
      </w:pPr>
    </w:p>
    <w:p w:rsidR="00E76169" w:rsidRPr="00E76169" w:rsidRDefault="00E76169" w:rsidP="00E76169">
      <w:pPr>
        <w:jc w:val="center"/>
        <w:rPr>
          <w:rFonts w:asciiTheme="minorHAnsi" w:hAnsiTheme="minorHAnsi"/>
          <w:sz w:val="24"/>
          <w:szCs w:val="24"/>
        </w:rPr>
      </w:pPr>
    </w:p>
    <w:p w:rsidR="00E76169" w:rsidRPr="00D77BE7" w:rsidRDefault="00E76169" w:rsidP="00E76169">
      <w:pPr>
        <w:jc w:val="center"/>
        <w:rPr>
          <w:rFonts w:asciiTheme="minorHAnsi" w:hAnsiTheme="minorHAnsi"/>
          <w:sz w:val="20"/>
        </w:rPr>
      </w:pPr>
      <w:r w:rsidRPr="00D77BE7">
        <w:rPr>
          <w:rFonts w:asciiTheme="minorHAnsi" w:hAnsiTheme="minorHAnsi"/>
          <w:sz w:val="20"/>
        </w:rPr>
        <w:t>BURSATRA SDN BHD is a registered training provider with PSMB (Reg. No: 0480)</w:t>
      </w:r>
    </w:p>
    <w:sectPr w:rsidR="00E76169" w:rsidRPr="00D77BE7" w:rsidSect="00E76169">
      <w:type w:val="continuous"/>
      <w:pgSz w:w="11906" w:h="16838" w:code="9"/>
      <w:pgMar w:top="806" w:right="922" w:bottom="900" w:left="1800" w:header="0" w:footer="0" w:gutter="0"/>
      <w:pgBorders w:display="notFirstPage"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93B" w:rsidRDefault="00AA193B">
      <w:r>
        <w:separator/>
      </w:r>
    </w:p>
  </w:endnote>
  <w:endnote w:type="continuationSeparator" w:id="1">
    <w:p w:rsidR="00AA193B" w:rsidRDefault="00AA19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A21D71">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E76169">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p w:rsidR="004C3B41" w:rsidRDefault="004C3B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93B" w:rsidRDefault="00AA193B">
      <w:r>
        <w:separator/>
      </w:r>
    </w:p>
  </w:footnote>
  <w:footnote w:type="continuationSeparator" w:id="1">
    <w:p w:rsidR="00AA193B" w:rsidRDefault="00AA19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BC6BD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6C5CB2" w:rsidRDefault="00BC6BD6" w:rsidP="00C24690">
    <w:pPr>
      <w:pStyle w:val="Heading5"/>
      <w:ind w:left="-810" w:hanging="90"/>
      <w:rPr>
        <w:rFonts w:ascii="Century Gothic" w:hAnsi="Century Gothic"/>
        <w:i w:val="0"/>
        <w:iCs/>
        <w:sz w:val="24"/>
        <w:szCs w:val="24"/>
      </w:rPr>
    </w:pPr>
    <w:r w:rsidRPr="00BC6BD6">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4C3B41">
      <w:tab/>
    </w:r>
  </w:p>
  <w:p w:rsidR="004C3B41" w:rsidRPr="006C5CB2" w:rsidRDefault="004C3B4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BC6BD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A02"/>
    <w:multiLevelType w:val="hybridMultilevel"/>
    <w:tmpl w:val="DB526C2A"/>
    <w:lvl w:ilvl="0" w:tplc="04090001">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74F15"/>
    <w:multiLevelType w:val="hybridMultilevel"/>
    <w:tmpl w:val="4504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07116"/>
    <w:multiLevelType w:val="hybridMultilevel"/>
    <w:tmpl w:val="2F286D3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nsid w:val="257A6117"/>
    <w:multiLevelType w:val="hybridMultilevel"/>
    <w:tmpl w:val="D4BCD65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nsid w:val="2BCE47D5"/>
    <w:multiLevelType w:val="hybridMultilevel"/>
    <w:tmpl w:val="F7A4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298407A"/>
    <w:multiLevelType w:val="hybridMultilevel"/>
    <w:tmpl w:val="9AF2D8A8"/>
    <w:lvl w:ilvl="0" w:tplc="04090001">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5607E0"/>
    <w:multiLevelType w:val="hybridMultilevel"/>
    <w:tmpl w:val="7E32A71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nsid w:val="3D871720"/>
    <w:multiLevelType w:val="hybridMultilevel"/>
    <w:tmpl w:val="9162CCA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nsid w:val="555028BA"/>
    <w:multiLevelType w:val="hybridMultilevel"/>
    <w:tmpl w:val="53FEC52C"/>
    <w:lvl w:ilvl="0" w:tplc="67EC3AB4">
      <w:start w:val="8"/>
      <w:numFmt w:val="bullet"/>
      <w:lvlText w:val="-"/>
      <w:lvlJc w:val="left"/>
      <w:pPr>
        <w:ind w:left="720" w:hanging="360"/>
      </w:pPr>
      <w:rPr>
        <w:rFonts w:ascii="Cambria" w:eastAsiaTheme="majorEastAsia" w:hAnsi="Cambria" w:cstheme="majorBidi"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0575DD"/>
    <w:multiLevelType w:val="hybridMultilevel"/>
    <w:tmpl w:val="BC54604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nsid w:val="59B95F99"/>
    <w:multiLevelType w:val="hybridMultilevel"/>
    <w:tmpl w:val="611AA5B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1">
    <w:nsid w:val="5A942E0D"/>
    <w:multiLevelType w:val="hybridMultilevel"/>
    <w:tmpl w:val="E6A8398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nsid w:val="5ABC3A36"/>
    <w:multiLevelType w:val="hybridMultilevel"/>
    <w:tmpl w:val="B01CA22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3">
    <w:nsid w:val="6340542E"/>
    <w:multiLevelType w:val="hybridMultilevel"/>
    <w:tmpl w:val="43A0D4B8"/>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4">
    <w:nsid w:val="642235E0"/>
    <w:multiLevelType w:val="hybridMultilevel"/>
    <w:tmpl w:val="1430D45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5">
    <w:nsid w:val="68665746"/>
    <w:multiLevelType w:val="hybridMultilevel"/>
    <w:tmpl w:val="A53A53E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6">
    <w:nsid w:val="6AFC137A"/>
    <w:multiLevelType w:val="hybridMultilevel"/>
    <w:tmpl w:val="A3F0BCCE"/>
    <w:lvl w:ilvl="0" w:tplc="CFB02090">
      <w:numFmt w:val="bullet"/>
      <w:lvlText w:val="-"/>
      <w:lvlJc w:val="left"/>
      <w:pPr>
        <w:ind w:left="720" w:hanging="360"/>
      </w:pPr>
      <w:rPr>
        <w:rFonts w:ascii="Cambria" w:eastAsiaTheme="majorEastAsia" w:hAnsi="Cambria" w:cstheme="majorBidi"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E72C5D"/>
    <w:multiLevelType w:val="hybridMultilevel"/>
    <w:tmpl w:val="578E3DF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nsid w:val="6D0A5924"/>
    <w:multiLevelType w:val="hybridMultilevel"/>
    <w:tmpl w:val="2B04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3401A7"/>
    <w:multiLevelType w:val="hybridMultilevel"/>
    <w:tmpl w:val="21B8169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0">
    <w:nsid w:val="7EFC6E92"/>
    <w:multiLevelType w:val="hybridMultilevel"/>
    <w:tmpl w:val="67C45EA4"/>
    <w:lvl w:ilvl="0" w:tplc="153853A2">
      <w:start w:val="1"/>
      <w:numFmt w:val="decimal"/>
      <w:lvlText w:val="%1."/>
      <w:lvlJc w:val="left"/>
      <w:pPr>
        <w:ind w:left="-10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num w:numId="1">
    <w:abstractNumId w:val="4"/>
  </w:num>
  <w:num w:numId="2">
    <w:abstractNumId w:val="1"/>
  </w:num>
  <w:num w:numId="3">
    <w:abstractNumId w:val="20"/>
  </w:num>
  <w:num w:numId="4">
    <w:abstractNumId w:val="9"/>
  </w:num>
  <w:num w:numId="5">
    <w:abstractNumId w:val="19"/>
  </w:num>
  <w:num w:numId="6">
    <w:abstractNumId w:val="10"/>
  </w:num>
  <w:num w:numId="7">
    <w:abstractNumId w:val="7"/>
  </w:num>
  <w:num w:numId="8">
    <w:abstractNumId w:val="11"/>
  </w:num>
  <w:num w:numId="9">
    <w:abstractNumId w:val="8"/>
  </w:num>
  <w:num w:numId="10">
    <w:abstractNumId w:val="12"/>
  </w:num>
  <w:num w:numId="11">
    <w:abstractNumId w:val="3"/>
  </w:num>
  <w:num w:numId="12">
    <w:abstractNumId w:val="16"/>
  </w:num>
  <w:num w:numId="13">
    <w:abstractNumId w:val="0"/>
  </w:num>
  <w:num w:numId="14">
    <w:abstractNumId w:val="5"/>
  </w:num>
  <w:num w:numId="15">
    <w:abstractNumId w:val="14"/>
  </w:num>
  <w:num w:numId="16">
    <w:abstractNumId w:val="2"/>
  </w:num>
  <w:num w:numId="17">
    <w:abstractNumId w:val="17"/>
  </w:num>
  <w:num w:numId="18">
    <w:abstractNumId w:val="13"/>
  </w:num>
  <w:num w:numId="19">
    <w:abstractNumId w:val="15"/>
  </w:num>
  <w:num w:numId="20">
    <w:abstractNumId w:val="6"/>
  </w:num>
  <w:num w:numId="21">
    <w:abstractNumId w:val="1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6146">
      <o:colormru v:ext="edit" colors="#eaeaea"/>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C4D0F"/>
    <w:rsid w:val="000D35F4"/>
    <w:rsid w:val="000D57B6"/>
    <w:rsid w:val="000D5EF0"/>
    <w:rsid w:val="000D6092"/>
    <w:rsid w:val="000D7E9F"/>
    <w:rsid w:val="000E00EA"/>
    <w:rsid w:val="000E1528"/>
    <w:rsid w:val="000E7423"/>
    <w:rsid w:val="000F02DF"/>
    <w:rsid w:val="000F18B0"/>
    <w:rsid w:val="000F1D91"/>
    <w:rsid w:val="000F7359"/>
    <w:rsid w:val="001012CF"/>
    <w:rsid w:val="00101374"/>
    <w:rsid w:val="00104CCA"/>
    <w:rsid w:val="00104DC9"/>
    <w:rsid w:val="00105552"/>
    <w:rsid w:val="001148A0"/>
    <w:rsid w:val="0011595D"/>
    <w:rsid w:val="00116013"/>
    <w:rsid w:val="00120F5D"/>
    <w:rsid w:val="001215E3"/>
    <w:rsid w:val="00133138"/>
    <w:rsid w:val="0013504A"/>
    <w:rsid w:val="00136C30"/>
    <w:rsid w:val="00137940"/>
    <w:rsid w:val="001417CA"/>
    <w:rsid w:val="00141FD8"/>
    <w:rsid w:val="001425E0"/>
    <w:rsid w:val="00146055"/>
    <w:rsid w:val="001477AC"/>
    <w:rsid w:val="0015392A"/>
    <w:rsid w:val="00154BFB"/>
    <w:rsid w:val="001552C6"/>
    <w:rsid w:val="00166D1E"/>
    <w:rsid w:val="00173979"/>
    <w:rsid w:val="001836DC"/>
    <w:rsid w:val="00190E5B"/>
    <w:rsid w:val="00191FD2"/>
    <w:rsid w:val="00195DEF"/>
    <w:rsid w:val="001A0977"/>
    <w:rsid w:val="001A500C"/>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2291C"/>
    <w:rsid w:val="0024105E"/>
    <w:rsid w:val="002473F6"/>
    <w:rsid w:val="002513A9"/>
    <w:rsid w:val="00254A86"/>
    <w:rsid w:val="00256DEE"/>
    <w:rsid w:val="00257517"/>
    <w:rsid w:val="00257F18"/>
    <w:rsid w:val="002615DC"/>
    <w:rsid w:val="00261F6C"/>
    <w:rsid w:val="00263515"/>
    <w:rsid w:val="0027004C"/>
    <w:rsid w:val="00271DB0"/>
    <w:rsid w:val="00273912"/>
    <w:rsid w:val="002847B9"/>
    <w:rsid w:val="002922F8"/>
    <w:rsid w:val="00292CBC"/>
    <w:rsid w:val="00294201"/>
    <w:rsid w:val="00294AB9"/>
    <w:rsid w:val="002960C2"/>
    <w:rsid w:val="002963BA"/>
    <w:rsid w:val="00296D32"/>
    <w:rsid w:val="002A2C29"/>
    <w:rsid w:val="002B2C67"/>
    <w:rsid w:val="002C286F"/>
    <w:rsid w:val="002D152D"/>
    <w:rsid w:val="002D40CE"/>
    <w:rsid w:val="002D76A9"/>
    <w:rsid w:val="002E6C9D"/>
    <w:rsid w:val="002E6DF0"/>
    <w:rsid w:val="002E6DF1"/>
    <w:rsid w:val="002F32AA"/>
    <w:rsid w:val="002F5951"/>
    <w:rsid w:val="002F629E"/>
    <w:rsid w:val="002F679A"/>
    <w:rsid w:val="003300F6"/>
    <w:rsid w:val="003324DF"/>
    <w:rsid w:val="00336392"/>
    <w:rsid w:val="0034120C"/>
    <w:rsid w:val="00350723"/>
    <w:rsid w:val="0035263B"/>
    <w:rsid w:val="00354FC1"/>
    <w:rsid w:val="00365E83"/>
    <w:rsid w:val="003670C1"/>
    <w:rsid w:val="003673E3"/>
    <w:rsid w:val="003712FB"/>
    <w:rsid w:val="003739F2"/>
    <w:rsid w:val="00374C5A"/>
    <w:rsid w:val="00383D4B"/>
    <w:rsid w:val="00387974"/>
    <w:rsid w:val="00387DD8"/>
    <w:rsid w:val="003930BC"/>
    <w:rsid w:val="00394B45"/>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10606"/>
    <w:rsid w:val="00410B3A"/>
    <w:rsid w:val="00412830"/>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C3B41"/>
    <w:rsid w:val="004D135F"/>
    <w:rsid w:val="004D5038"/>
    <w:rsid w:val="004E0773"/>
    <w:rsid w:val="004E6547"/>
    <w:rsid w:val="004E68AD"/>
    <w:rsid w:val="004E71E2"/>
    <w:rsid w:val="004F0317"/>
    <w:rsid w:val="00502E5F"/>
    <w:rsid w:val="0051007A"/>
    <w:rsid w:val="00512442"/>
    <w:rsid w:val="0052403E"/>
    <w:rsid w:val="005335E3"/>
    <w:rsid w:val="005404B1"/>
    <w:rsid w:val="00541103"/>
    <w:rsid w:val="005451F7"/>
    <w:rsid w:val="005632EC"/>
    <w:rsid w:val="005656FA"/>
    <w:rsid w:val="00567340"/>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504C0"/>
    <w:rsid w:val="00650566"/>
    <w:rsid w:val="00660E13"/>
    <w:rsid w:val="00662851"/>
    <w:rsid w:val="0066434D"/>
    <w:rsid w:val="00670C30"/>
    <w:rsid w:val="0067124E"/>
    <w:rsid w:val="00671D35"/>
    <w:rsid w:val="00672847"/>
    <w:rsid w:val="00675E1C"/>
    <w:rsid w:val="0067733A"/>
    <w:rsid w:val="006807E9"/>
    <w:rsid w:val="00687724"/>
    <w:rsid w:val="00690902"/>
    <w:rsid w:val="00692BA4"/>
    <w:rsid w:val="0069358A"/>
    <w:rsid w:val="00693D58"/>
    <w:rsid w:val="006A1CE8"/>
    <w:rsid w:val="006A299A"/>
    <w:rsid w:val="006B11CB"/>
    <w:rsid w:val="006C21AD"/>
    <w:rsid w:val="006C3FD2"/>
    <w:rsid w:val="006C5CB2"/>
    <w:rsid w:val="006D77A2"/>
    <w:rsid w:val="006E2F0B"/>
    <w:rsid w:val="006F5FAE"/>
    <w:rsid w:val="0070458F"/>
    <w:rsid w:val="007063EE"/>
    <w:rsid w:val="00706FF6"/>
    <w:rsid w:val="007137FB"/>
    <w:rsid w:val="007138A5"/>
    <w:rsid w:val="007158D1"/>
    <w:rsid w:val="00722C3F"/>
    <w:rsid w:val="0074177E"/>
    <w:rsid w:val="00742723"/>
    <w:rsid w:val="007466BC"/>
    <w:rsid w:val="007757BC"/>
    <w:rsid w:val="00782EDD"/>
    <w:rsid w:val="00784BD4"/>
    <w:rsid w:val="0079258D"/>
    <w:rsid w:val="007A38E3"/>
    <w:rsid w:val="007A3D96"/>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4D0E"/>
    <w:rsid w:val="00815491"/>
    <w:rsid w:val="0082324A"/>
    <w:rsid w:val="008245A3"/>
    <w:rsid w:val="008302DC"/>
    <w:rsid w:val="008334F3"/>
    <w:rsid w:val="0083372F"/>
    <w:rsid w:val="00857F0B"/>
    <w:rsid w:val="008625D4"/>
    <w:rsid w:val="0087164E"/>
    <w:rsid w:val="00873998"/>
    <w:rsid w:val="00882E02"/>
    <w:rsid w:val="00885384"/>
    <w:rsid w:val="00886436"/>
    <w:rsid w:val="00893FF6"/>
    <w:rsid w:val="008A36B4"/>
    <w:rsid w:val="008A7D0C"/>
    <w:rsid w:val="008B4D1B"/>
    <w:rsid w:val="008C68AB"/>
    <w:rsid w:val="008C6E67"/>
    <w:rsid w:val="008D59F1"/>
    <w:rsid w:val="008D7012"/>
    <w:rsid w:val="008E37B0"/>
    <w:rsid w:val="008E3F3A"/>
    <w:rsid w:val="008E7A32"/>
    <w:rsid w:val="008E7FAA"/>
    <w:rsid w:val="008F2072"/>
    <w:rsid w:val="008F6F19"/>
    <w:rsid w:val="00900A42"/>
    <w:rsid w:val="009069EE"/>
    <w:rsid w:val="00911B27"/>
    <w:rsid w:val="00920EFB"/>
    <w:rsid w:val="0092566D"/>
    <w:rsid w:val="0093318C"/>
    <w:rsid w:val="00941FC5"/>
    <w:rsid w:val="00942F12"/>
    <w:rsid w:val="009449AE"/>
    <w:rsid w:val="00945885"/>
    <w:rsid w:val="00946B76"/>
    <w:rsid w:val="00950305"/>
    <w:rsid w:val="00960FF4"/>
    <w:rsid w:val="00962CD4"/>
    <w:rsid w:val="00966197"/>
    <w:rsid w:val="009812C8"/>
    <w:rsid w:val="009815BA"/>
    <w:rsid w:val="00987CCB"/>
    <w:rsid w:val="009A581A"/>
    <w:rsid w:val="009A7D2F"/>
    <w:rsid w:val="009A7DE5"/>
    <w:rsid w:val="009B1017"/>
    <w:rsid w:val="009B230D"/>
    <w:rsid w:val="009C6541"/>
    <w:rsid w:val="009C6919"/>
    <w:rsid w:val="009D03F3"/>
    <w:rsid w:val="009D510E"/>
    <w:rsid w:val="009D5C3B"/>
    <w:rsid w:val="009E060C"/>
    <w:rsid w:val="009E77BF"/>
    <w:rsid w:val="00A00F25"/>
    <w:rsid w:val="00A01F70"/>
    <w:rsid w:val="00A06B10"/>
    <w:rsid w:val="00A13919"/>
    <w:rsid w:val="00A21D71"/>
    <w:rsid w:val="00A2356C"/>
    <w:rsid w:val="00A26477"/>
    <w:rsid w:val="00A5263F"/>
    <w:rsid w:val="00A612A4"/>
    <w:rsid w:val="00A63428"/>
    <w:rsid w:val="00A63981"/>
    <w:rsid w:val="00A72AB9"/>
    <w:rsid w:val="00A80B58"/>
    <w:rsid w:val="00A875B6"/>
    <w:rsid w:val="00A900AF"/>
    <w:rsid w:val="00A91344"/>
    <w:rsid w:val="00A92D43"/>
    <w:rsid w:val="00A96EDC"/>
    <w:rsid w:val="00AA193B"/>
    <w:rsid w:val="00AB2E66"/>
    <w:rsid w:val="00AC523C"/>
    <w:rsid w:val="00AD5D9B"/>
    <w:rsid w:val="00AD7636"/>
    <w:rsid w:val="00AE16FE"/>
    <w:rsid w:val="00AE3449"/>
    <w:rsid w:val="00AE6D93"/>
    <w:rsid w:val="00AF24EB"/>
    <w:rsid w:val="00B00F63"/>
    <w:rsid w:val="00B0380D"/>
    <w:rsid w:val="00B04AC7"/>
    <w:rsid w:val="00B10286"/>
    <w:rsid w:val="00B1346F"/>
    <w:rsid w:val="00B1435F"/>
    <w:rsid w:val="00B14653"/>
    <w:rsid w:val="00B162FD"/>
    <w:rsid w:val="00B16A82"/>
    <w:rsid w:val="00B2339C"/>
    <w:rsid w:val="00B266B7"/>
    <w:rsid w:val="00B26841"/>
    <w:rsid w:val="00B312EC"/>
    <w:rsid w:val="00B318E2"/>
    <w:rsid w:val="00B3486C"/>
    <w:rsid w:val="00B43804"/>
    <w:rsid w:val="00B4435B"/>
    <w:rsid w:val="00B45D60"/>
    <w:rsid w:val="00B53DAF"/>
    <w:rsid w:val="00B62990"/>
    <w:rsid w:val="00B66D36"/>
    <w:rsid w:val="00B82548"/>
    <w:rsid w:val="00B923DB"/>
    <w:rsid w:val="00B954D2"/>
    <w:rsid w:val="00B9676C"/>
    <w:rsid w:val="00BA45A9"/>
    <w:rsid w:val="00BB12F9"/>
    <w:rsid w:val="00BB37B7"/>
    <w:rsid w:val="00BB4BE2"/>
    <w:rsid w:val="00BB7731"/>
    <w:rsid w:val="00BC0823"/>
    <w:rsid w:val="00BC2DCA"/>
    <w:rsid w:val="00BC6BD6"/>
    <w:rsid w:val="00BD365B"/>
    <w:rsid w:val="00BD6B2C"/>
    <w:rsid w:val="00BE18D6"/>
    <w:rsid w:val="00BF185D"/>
    <w:rsid w:val="00BF363A"/>
    <w:rsid w:val="00C11F7E"/>
    <w:rsid w:val="00C17A24"/>
    <w:rsid w:val="00C21784"/>
    <w:rsid w:val="00C2467C"/>
    <w:rsid w:val="00C24690"/>
    <w:rsid w:val="00C248F9"/>
    <w:rsid w:val="00C249F4"/>
    <w:rsid w:val="00C25BBF"/>
    <w:rsid w:val="00C25C00"/>
    <w:rsid w:val="00C32EC9"/>
    <w:rsid w:val="00C37DBE"/>
    <w:rsid w:val="00C412E1"/>
    <w:rsid w:val="00C42BFC"/>
    <w:rsid w:val="00C42E06"/>
    <w:rsid w:val="00C44A1E"/>
    <w:rsid w:val="00C46C4A"/>
    <w:rsid w:val="00C472A2"/>
    <w:rsid w:val="00C47699"/>
    <w:rsid w:val="00C50C81"/>
    <w:rsid w:val="00C51007"/>
    <w:rsid w:val="00C51FB9"/>
    <w:rsid w:val="00C604C4"/>
    <w:rsid w:val="00C608A5"/>
    <w:rsid w:val="00C60F4F"/>
    <w:rsid w:val="00C6214C"/>
    <w:rsid w:val="00C666F4"/>
    <w:rsid w:val="00C73918"/>
    <w:rsid w:val="00C904A8"/>
    <w:rsid w:val="00C90C7B"/>
    <w:rsid w:val="00C90DB0"/>
    <w:rsid w:val="00C96045"/>
    <w:rsid w:val="00C96FED"/>
    <w:rsid w:val="00C9707D"/>
    <w:rsid w:val="00CA0EAF"/>
    <w:rsid w:val="00CA132B"/>
    <w:rsid w:val="00CA34DB"/>
    <w:rsid w:val="00CA770C"/>
    <w:rsid w:val="00CB0A20"/>
    <w:rsid w:val="00CB6394"/>
    <w:rsid w:val="00CB7793"/>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2FB3"/>
    <w:rsid w:val="00D2799C"/>
    <w:rsid w:val="00D34E2C"/>
    <w:rsid w:val="00D36AC3"/>
    <w:rsid w:val="00D40D8D"/>
    <w:rsid w:val="00D55B69"/>
    <w:rsid w:val="00D56F3F"/>
    <w:rsid w:val="00D571E5"/>
    <w:rsid w:val="00D67CB4"/>
    <w:rsid w:val="00D70262"/>
    <w:rsid w:val="00D72D6F"/>
    <w:rsid w:val="00D77BE7"/>
    <w:rsid w:val="00D83D4E"/>
    <w:rsid w:val="00D90843"/>
    <w:rsid w:val="00DA5FF8"/>
    <w:rsid w:val="00DA7D7A"/>
    <w:rsid w:val="00DB4177"/>
    <w:rsid w:val="00DB7BB8"/>
    <w:rsid w:val="00DC1112"/>
    <w:rsid w:val="00DC4000"/>
    <w:rsid w:val="00DC4F14"/>
    <w:rsid w:val="00DD1104"/>
    <w:rsid w:val="00DD2E1A"/>
    <w:rsid w:val="00DD4081"/>
    <w:rsid w:val="00DD50A7"/>
    <w:rsid w:val="00DE326C"/>
    <w:rsid w:val="00DE39FF"/>
    <w:rsid w:val="00DE4B99"/>
    <w:rsid w:val="00DF4126"/>
    <w:rsid w:val="00DF4693"/>
    <w:rsid w:val="00DF51DB"/>
    <w:rsid w:val="00E01678"/>
    <w:rsid w:val="00E0272F"/>
    <w:rsid w:val="00E0624B"/>
    <w:rsid w:val="00E27AF7"/>
    <w:rsid w:val="00E3088A"/>
    <w:rsid w:val="00E30D2E"/>
    <w:rsid w:val="00E33343"/>
    <w:rsid w:val="00E34822"/>
    <w:rsid w:val="00E42427"/>
    <w:rsid w:val="00E47137"/>
    <w:rsid w:val="00E555F1"/>
    <w:rsid w:val="00E6033F"/>
    <w:rsid w:val="00E61360"/>
    <w:rsid w:val="00E70677"/>
    <w:rsid w:val="00E70BC7"/>
    <w:rsid w:val="00E70CC5"/>
    <w:rsid w:val="00E70F7E"/>
    <w:rsid w:val="00E71AA0"/>
    <w:rsid w:val="00E76169"/>
    <w:rsid w:val="00E81344"/>
    <w:rsid w:val="00E841EA"/>
    <w:rsid w:val="00E954FF"/>
    <w:rsid w:val="00EA2BE7"/>
    <w:rsid w:val="00EA4BF4"/>
    <w:rsid w:val="00EB1AAF"/>
    <w:rsid w:val="00ED5A48"/>
    <w:rsid w:val="00ED617A"/>
    <w:rsid w:val="00ED6EF6"/>
    <w:rsid w:val="00ED7A69"/>
    <w:rsid w:val="00EE1CC6"/>
    <w:rsid w:val="00EF01DC"/>
    <w:rsid w:val="00EF2CC1"/>
    <w:rsid w:val="00F00607"/>
    <w:rsid w:val="00F0310A"/>
    <w:rsid w:val="00F062B9"/>
    <w:rsid w:val="00F0747F"/>
    <w:rsid w:val="00F0780A"/>
    <w:rsid w:val="00F22FCA"/>
    <w:rsid w:val="00F2770A"/>
    <w:rsid w:val="00F32E93"/>
    <w:rsid w:val="00F3567C"/>
    <w:rsid w:val="00F379E6"/>
    <w:rsid w:val="00F45285"/>
    <w:rsid w:val="00F61AFD"/>
    <w:rsid w:val="00F61EAE"/>
    <w:rsid w:val="00F624FF"/>
    <w:rsid w:val="00F629C8"/>
    <w:rsid w:val="00F647A1"/>
    <w:rsid w:val="00F656CB"/>
    <w:rsid w:val="00F66E17"/>
    <w:rsid w:val="00F70863"/>
    <w:rsid w:val="00F7475B"/>
    <w:rsid w:val="00F77EBC"/>
    <w:rsid w:val="00F8399C"/>
    <w:rsid w:val="00F91A35"/>
    <w:rsid w:val="00F96AA8"/>
    <w:rsid w:val="00FA01A1"/>
    <w:rsid w:val="00FA2083"/>
    <w:rsid w:val="00FB130F"/>
    <w:rsid w:val="00FC04B8"/>
    <w:rsid w:val="00FD1057"/>
    <w:rsid w:val="00FD181A"/>
    <w:rsid w:val="00FD4A82"/>
    <w:rsid w:val="00FD5265"/>
    <w:rsid w:val="00FD5268"/>
    <w:rsid w:val="00FD781F"/>
    <w:rsid w:val="00FE07B2"/>
    <w:rsid w:val="00FE2715"/>
    <w:rsid w:val="00FF0C67"/>
    <w:rsid w:val="00FF6038"/>
    <w:rsid w:val="00FF7C6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eaeaea"/>
    </o:shapedefaults>
    <o:shapelayout v:ext="edit">
      <o:idmap v:ext="edit" data="1"/>
      <o:rules v:ext="edit">
        <o:r id="V:Rule4" type="connector" idref="#_x0000_s1028"/>
        <o:r id="V:Rule5" type="connector" idref="#_x0000_s1034"/>
        <o:r id="V:Rule6"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table" w:styleId="TableClassic1">
    <w:name w:val="Table Classic 1"/>
    <w:basedOn w:val="TableNormal"/>
    <w:rsid w:val="00FF7C6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FF7C6C"/>
    <w:rPr>
      <w:color w:val="808080"/>
    </w:rPr>
  </w:style>
  <w:style w:type="paragraph" w:styleId="Title">
    <w:name w:val="Title"/>
    <w:basedOn w:val="Normal"/>
    <w:next w:val="Normal"/>
    <w:link w:val="TitleChar"/>
    <w:qFormat/>
    <w:rsid w:val="00FF7C6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F7C6C"/>
    <w:rPr>
      <w:rFonts w:asciiTheme="majorHAnsi" w:eastAsiaTheme="majorEastAsia" w:hAnsiTheme="majorHAnsi" w:cstheme="majorBidi"/>
      <w:color w:val="17365D" w:themeColor="text2" w:themeShade="BF"/>
      <w:spacing w:val="5"/>
      <w:kern w:val="28"/>
      <w:sz w:val="52"/>
      <w:szCs w:val="52"/>
      <w:lang w:val="en-GB"/>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6C15E02F374513847B81F403CDE7E2"/>
        <w:category>
          <w:name w:val="General"/>
          <w:gallery w:val="placeholder"/>
        </w:category>
        <w:types>
          <w:type w:val="bbPlcHdr"/>
        </w:types>
        <w:behaviors>
          <w:behavior w:val="content"/>
        </w:behaviors>
        <w:guid w:val="{4939C02D-33BE-4F56-95B2-FFE4C2E04FBB}"/>
      </w:docPartPr>
      <w:docPartBody>
        <w:p w:rsidR="00000000" w:rsidRDefault="0040201D">
          <w:r w:rsidRPr="001C541A">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0201D"/>
    <w:rsid w:val="0040201D"/>
    <w:rsid w:val="00A27C2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01D"/>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Growth by M&amp;A activities is the most popular route for leading companies to pursue to maximize its growth potential with big results fast. This course highlights the essential and hands-on thought process vital for successful M&amp;A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D0808-2547-4110-990F-139BB343E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Best Practices &amp; Principles of Integrated Reporting &amp; Its Disclosure Framework</vt:lpstr>
    </vt:vector>
  </TitlesOfParts>
  <Company>Bursatra</Company>
  <LinksUpToDate>false</LinksUpToDate>
  <CharactersWithSpaces>4776</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Practices &amp; Principles of Integrated Reporting &amp; Its Disclosure Framework</dc:title>
  <dc:creator>Azlan</dc:creator>
  <cp:keywords>Boey</cp:keywords>
  <dc:description>Boey</dc:description>
  <cp:lastModifiedBy>hp</cp:lastModifiedBy>
  <cp:revision>3</cp:revision>
  <cp:lastPrinted>2015-06-30T15:28:00Z</cp:lastPrinted>
  <dcterms:created xsi:type="dcterms:W3CDTF">2016-09-18T17:44:00Z</dcterms:created>
  <dcterms:modified xsi:type="dcterms:W3CDTF">2016-09-18T18:03:00Z</dcterms:modified>
  <cp:category>Corporate Governance Management and Best Practices</cp:category>
</cp:coreProperties>
</file>